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61F0" w14:textId="1AC9BD14" w:rsidR="00A54DA5" w:rsidRPr="00E95338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E95338">
        <w:rPr>
          <w:rFonts w:ascii="宋体" w:eastAsia="宋体" w:hAnsi="宋体" w:cs="宋体"/>
          <w:color w:val="auto"/>
          <w:sz w:val="24"/>
        </w:rPr>
        <w:t>证券代码：</w:t>
      </w:r>
      <w:r w:rsidR="00BC6C82">
        <w:rPr>
          <w:rFonts w:ascii="宋体" w:eastAsia="宋体" w:hAnsi="宋体" w:cs="宋体"/>
          <w:color w:val="auto"/>
          <w:sz w:val="24"/>
        </w:rPr>
        <w:t>688680</w:t>
      </w:r>
      <w:r w:rsidRPr="00E95338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E95338">
        <w:rPr>
          <w:rFonts w:ascii="宋体" w:eastAsia="宋体" w:hAnsi="宋体" w:cs="宋体"/>
          <w:color w:val="auto"/>
          <w:sz w:val="24"/>
        </w:rPr>
        <w:t xml:space="preserve">            </w:t>
      </w:r>
      <w:r w:rsidRPr="00E95338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E95338">
        <w:rPr>
          <w:rFonts w:ascii="宋体" w:eastAsia="宋体" w:hAnsi="宋体" w:cs="宋体"/>
          <w:color w:val="auto"/>
          <w:sz w:val="24"/>
        </w:rPr>
        <w:t>证券简称：</w:t>
      </w:r>
      <w:r w:rsidR="00BC6C82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008F7E1B" w14:textId="18431546" w:rsidR="00BE5F2C" w:rsidRPr="00E95338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E95338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E95338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082B4924" w:rsidR="00A54DA5" w:rsidRPr="00E95338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E95338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323FF4">
        <w:rPr>
          <w:rFonts w:ascii="宋体" w:eastAsia="宋体" w:hAnsi="宋体" w:cs="宋体"/>
          <w:color w:val="auto"/>
          <w:sz w:val="24"/>
        </w:rPr>
        <w:t>编号：</w:t>
      </w:r>
      <w:r w:rsidR="00FA6F5B" w:rsidRPr="00323FF4">
        <w:rPr>
          <w:rFonts w:ascii="宋体" w:eastAsia="宋体" w:hAnsi="宋体" w:cs="宋体"/>
          <w:color w:val="auto"/>
          <w:sz w:val="24"/>
        </w:rPr>
        <w:t>202</w:t>
      </w:r>
      <w:r w:rsidR="001C4CB4">
        <w:rPr>
          <w:rFonts w:ascii="宋体" w:eastAsia="宋体" w:hAnsi="宋体" w:cs="宋体"/>
          <w:color w:val="auto"/>
          <w:sz w:val="24"/>
        </w:rPr>
        <w:t>2</w:t>
      </w:r>
      <w:r w:rsidR="00F24309" w:rsidRPr="00323FF4">
        <w:rPr>
          <w:rFonts w:ascii="宋体" w:eastAsia="宋体" w:hAnsi="宋体" w:cs="宋体"/>
          <w:color w:val="auto"/>
          <w:sz w:val="24"/>
        </w:rPr>
        <w:t>-</w:t>
      </w:r>
      <w:r w:rsidR="00FA6F5B">
        <w:rPr>
          <w:rFonts w:ascii="宋体" w:eastAsia="宋体" w:hAnsi="宋体" w:cs="宋体"/>
          <w:color w:val="auto"/>
          <w:sz w:val="24"/>
        </w:rPr>
        <w:t>00</w:t>
      </w:r>
      <w:r w:rsidR="0080779D">
        <w:rPr>
          <w:rFonts w:ascii="宋体" w:eastAsia="宋体" w:hAnsi="宋体" w:cs="宋体"/>
          <w:color w:val="auto"/>
          <w:sz w:val="24"/>
        </w:rPr>
        <w:t>2</w:t>
      </w:r>
      <w:bookmarkStart w:id="0" w:name="_GoBack"/>
      <w:bookmarkEnd w:id="0"/>
    </w:p>
    <w:tbl>
      <w:tblPr>
        <w:tblStyle w:val="TableGrid"/>
        <w:tblW w:w="10265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043"/>
        <w:gridCol w:w="8222"/>
      </w:tblGrid>
      <w:tr w:rsidR="009D70C1" w:rsidRPr="00C33376" w14:paraId="5AC7F51B" w14:textId="77777777" w:rsidTr="003E367C">
        <w:trPr>
          <w:trHeight w:val="188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3E367C" w:rsidRDefault="00B33B67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0D71E21A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CE5A2B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117D6365" w:rsidR="00A54DA5" w:rsidRPr="003E367C" w:rsidRDefault="001C4CB4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133303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3E367C" w:rsidRDefault="003241F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B96C1E" w14:paraId="51B691C1" w14:textId="77777777" w:rsidTr="003E367C">
        <w:trPr>
          <w:trHeight w:val="1339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7396E83F" w:rsidR="00C11D33" w:rsidRPr="003E367C" w:rsidRDefault="00133303" w:rsidP="0013330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国金电新、华创电新</w:t>
            </w:r>
            <w:r w:rsidR="001C4CB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国泰君安、中信建投、鹏华基金、海富通基金、博时基金、华安基金、浦银安盛、聚鸣投资、招商基金、盘京投资、</w:t>
            </w:r>
            <w:r w:rsidR="001C4CB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太平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基金、南方基金等</w:t>
            </w:r>
          </w:p>
        </w:tc>
      </w:tr>
      <w:tr w:rsidR="009D70C1" w:rsidRPr="00C33376" w14:paraId="06D18C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1A52BF82" w:rsidR="00A54DA5" w:rsidRPr="003E367C" w:rsidRDefault="001C4CB4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2022</w:t>
            </w:r>
            <w:r w:rsidR="0069321E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33303">
              <w:rPr>
                <w:rFonts w:ascii="宋体" w:eastAsia="宋体" w:hAnsi="宋体"/>
                <w:color w:val="auto"/>
                <w:sz w:val="21"/>
                <w:szCs w:val="21"/>
              </w:rPr>
              <w:t>03</w:t>
            </w:r>
            <w:r w:rsidR="0069321E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133303">
              <w:rPr>
                <w:rFonts w:ascii="宋体" w:eastAsia="宋体" w:hAnsi="宋体"/>
                <w:color w:val="auto"/>
                <w:sz w:val="21"/>
                <w:szCs w:val="21"/>
              </w:rPr>
              <w:t>01</w:t>
            </w:r>
            <w:r w:rsidR="0069321E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CC0AED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 w:rsidR="00133303">
              <w:rPr>
                <w:rFonts w:ascii="宋体" w:eastAsia="宋体" w:hAnsi="宋体"/>
                <w:color w:val="auto"/>
                <w:sz w:val="21"/>
                <w:szCs w:val="21"/>
              </w:rPr>
              <w:t>03</w:t>
            </w:r>
            <w:r w:rsidR="00EF147B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133303">
              <w:rPr>
                <w:rFonts w:ascii="宋体" w:eastAsia="宋体" w:hAnsi="宋体"/>
                <w:color w:val="auto"/>
                <w:sz w:val="21"/>
                <w:szCs w:val="21"/>
              </w:rPr>
              <w:t>24</w:t>
            </w:r>
            <w:r w:rsidR="00EF147B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C33376" w14:paraId="5EBCB3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03511DFE" w:rsidR="00577463" w:rsidRPr="003E367C" w:rsidRDefault="0013330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电话</w:t>
            </w:r>
            <w:r w:rsidR="00ED687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会议</w:t>
            </w:r>
          </w:p>
        </w:tc>
      </w:tr>
      <w:tr w:rsidR="009D70C1" w:rsidRPr="00C33376" w14:paraId="41CB7F50" w14:textId="77777777" w:rsidTr="003E367C">
        <w:trPr>
          <w:trHeight w:val="456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3E367C" w:rsidRDefault="00A0500B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58E395D3" w:rsidR="00C11D33" w:rsidRPr="003E367C" w:rsidRDefault="00C11D3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CE5A2B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、证券代表：姚红霞</w:t>
            </w:r>
          </w:p>
        </w:tc>
      </w:tr>
      <w:tr w:rsidR="00B15A90" w:rsidRPr="00BF58D9" w14:paraId="175AB6A7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CA8CEA6" w:rsidR="00595828" w:rsidRPr="003E367C" w:rsidRDefault="008F19F9" w:rsidP="008D6365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9DEF" w14:textId="0F3E04F2" w:rsidR="00854C09" w:rsidRPr="00AB2A40" w:rsidRDefault="003B52CF" w:rsidP="008F19F9">
            <w:pPr>
              <w:spacing w:before="240" w:after="0" w:line="276" w:lineRule="auto"/>
              <w:jc w:val="both"/>
              <w:rPr>
                <w:rFonts w:ascii="新宋体" w:eastAsia="新宋体" w:hAnsi="新宋体" w:cs="Helvetica"/>
                <w:b/>
                <w:color w:val="auto"/>
                <w:kern w:val="0"/>
                <w:sz w:val="21"/>
                <w:szCs w:val="21"/>
              </w:rPr>
            </w:pPr>
            <w:r w:rsidRPr="00AB2A40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第一部分、</w:t>
            </w:r>
            <w:r w:rsidR="00C5188E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公司</w:t>
            </w:r>
            <w:r w:rsidR="00AB2A40" w:rsidRPr="00AB2A40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基本情况</w:t>
            </w:r>
            <w:r w:rsidR="00854C09" w:rsidRPr="00AB2A40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介绍</w:t>
            </w:r>
          </w:p>
          <w:p w14:paraId="39B7A07A" w14:textId="3C8E3ED6" w:rsidR="00AB2A40" w:rsidRPr="00AB2A40" w:rsidRDefault="00CA107A" w:rsidP="0013330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 w:cs="Arial"/>
                <w:szCs w:val="21"/>
              </w:rPr>
            </w:pPr>
            <w:r w:rsidRPr="00AB2A40">
              <w:rPr>
                <w:rFonts w:ascii="新宋体" w:eastAsia="新宋体" w:hAnsi="新宋体" w:cs="Arial" w:hint="eastAsia"/>
                <w:szCs w:val="21"/>
              </w:rPr>
              <w:t>公司</w:t>
            </w:r>
            <w:r w:rsidR="00AB2A40" w:rsidRPr="00AB2A40">
              <w:rPr>
                <w:rFonts w:ascii="新宋体" w:eastAsia="新宋体" w:hAnsi="新宋体" w:cs="Arial" w:hint="eastAsia"/>
                <w:szCs w:val="21"/>
              </w:rPr>
              <w:t>为2005年注册于上海的高新技术企业，</w:t>
            </w:r>
            <w:r w:rsidR="00197094">
              <w:rPr>
                <w:rFonts w:ascii="新宋体" w:eastAsia="新宋体" w:hAnsi="新宋体" w:cs="Arial" w:hint="eastAsia"/>
                <w:szCs w:val="21"/>
              </w:rPr>
              <w:t>致力于特种高分子薄膜材料的研发、生产和销售，目前主营业务是</w:t>
            </w:r>
            <w:r w:rsidR="007458AA" w:rsidRPr="00AB2A40">
              <w:rPr>
                <w:rFonts w:ascii="新宋体" w:eastAsia="新宋体" w:hAnsi="新宋体" w:cs="Arial" w:hint="eastAsia"/>
                <w:szCs w:val="21"/>
              </w:rPr>
              <w:t>光伏组件封装</w:t>
            </w:r>
            <w:r w:rsidR="00197094">
              <w:rPr>
                <w:rFonts w:ascii="新宋体" w:eastAsia="新宋体" w:hAnsi="新宋体" w:cs="Arial" w:hint="eastAsia"/>
                <w:szCs w:val="21"/>
              </w:rPr>
              <w:t>胶膜，主要产品为</w:t>
            </w:r>
            <w:r w:rsidR="007458AA" w:rsidRPr="00AB2A40">
              <w:rPr>
                <w:rFonts w:ascii="新宋体" w:eastAsia="新宋体" w:hAnsi="新宋体" w:cs="Arial" w:hint="eastAsia"/>
                <w:szCs w:val="21"/>
              </w:rPr>
              <w:t>透明抗PID型EVA胶膜、白色增效EVA胶膜和共挤型POE</w:t>
            </w:r>
            <w:r w:rsidR="00AB2A40" w:rsidRPr="00AB2A40">
              <w:rPr>
                <w:rFonts w:ascii="新宋体" w:eastAsia="新宋体" w:hAnsi="新宋体" w:cs="Arial" w:hint="eastAsia"/>
                <w:szCs w:val="21"/>
              </w:rPr>
              <w:t>胶膜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等</w:t>
            </w:r>
            <w:r w:rsidR="00AB2A40" w:rsidRPr="00AB2A40">
              <w:rPr>
                <w:rFonts w:ascii="新宋体" w:eastAsia="新宋体" w:hAnsi="新宋体" w:cs="Arial" w:hint="eastAsia"/>
                <w:szCs w:val="21"/>
              </w:rPr>
              <w:t>。</w:t>
            </w:r>
            <w:r w:rsidR="00BE0634">
              <w:rPr>
                <w:rFonts w:ascii="新宋体" w:eastAsia="新宋体" w:hAnsi="新宋体" w:cs="Arial" w:hint="eastAsia"/>
                <w:szCs w:val="21"/>
              </w:rPr>
              <w:t>公司同时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积极布局非光伏领域的新材料的研发</w:t>
            </w:r>
            <w:r w:rsidR="00197094">
              <w:rPr>
                <w:rFonts w:ascii="新宋体" w:eastAsia="新宋体" w:hAnsi="新宋体" w:cs="Arial" w:hint="eastAsia"/>
                <w:szCs w:val="21"/>
              </w:rPr>
              <w:t>和产业化推进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，</w:t>
            </w:r>
            <w:r w:rsidR="00174DE3">
              <w:rPr>
                <w:rFonts w:ascii="新宋体" w:eastAsia="新宋体" w:hAnsi="新宋体" w:cs="Arial" w:hint="eastAsia"/>
                <w:szCs w:val="21"/>
              </w:rPr>
              <w:t>在</w:t>
            </w:r>
            <w:r w:rsidR="00BE0634">
              <w:rPr>
                <w:rFonts w:ascii="新宋体" w:eastAsia="新宋体" w:hAnsi="新宋体" w:cs="Arial" w:hint="eastAsia"/>
                <w:szCs w:val="21"/>
              </w:rPr>
              <w:t>非光伏领域不断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尝试和发展</w:t>
            </w:r>
            <w:r w:rsidR="00BE0634">
              <w:rPr>
                <w:rFonts w:ascii="新宋体" w:eastAsia="新宋体" w:hAnsi="新宋体" w:cs="Arial" w:hint="eastAsia"/>
                <w:szCs w:val="21"/>
              </w:rPr>
              <w:t>。</w:t>
            </w:r>
          </w:p>
          <w:p w14:paraId="058DD025" w14:textId="094FA71F" w:rsidR="00133303" w:rsidRPr="00133303" w:rsidRDefault="00F55C3E" w:rsidP="0013330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 w:rsidRPr="00AB2A40">
              <w:rPr>
                <w:rFonts w:ascii="新宋体" w:eastAsia="新宋体" w:hAnsi="新宋体" w:hint="eastAsia"/>
                <w:szCs w:val="21"/>
              </w:rPr>
              <w:t>公司</w:t>
            </w:r>
            <w:r w:rsidR="00133303">
              <w:rPr>
                <w:rFonts w:ascii="新宋体" w:eastAsia="新宋体" w:hAnsi="新宋体" w:hint="eastAsia"/>
                <w:szCs w:val="21"/>
              </w:rPr>
              <w:t>2月2</w:t>
            </w:r>
            <w:r w:rsidR="00133303">
              <w:rPr>
                <w:rFonts w:ascii="新宋体" w:eastAsia="新宋体" w:hAnsi="新宋体"/>
                <w:szCs w:val="21"/>
              </w:rPr>
              <w:t>6日发布了</w:t>
            </w:r>
            <w:r w:rsidR="00133303">
              <w:rPr>
                <w:rFonts w:ascii="新宋体" w:eastAsia="新宋体" w:hAnsi="新宋体" w:hint="eastAsia"/>
                <w:szCs w:val="21"/>
              </w:rPr>
              <w:t>2</w:t>
            </w:r>
            <w:r w:rsidR="00133303">
              <w:rPr>
                <w:rFonts w:ascii="新宋体" w:eastAsia="新宋体" w:hAnsi="新宋体"/>
                <w:szCs w:val="21"/>
              </w:rPr>
              <w:t>021年业绩快报，预计</w:t>
            </w:r>
            <w:r w:rsidR="00133303">
              <w:rPr>
                <w:rFonts w:ascii="新宋体" w:eastAsia="新宋体" w:hAnsi="新宋体" w:hint="eastAsia"/>
                <w:szCs w:val="21"/>
              </w:rPr>
              <w:t>2</w:t>
            </w:r>
            <w:r w:rsidR="00133303">
              <w:rPr>
                <w:rFonts w:ascii="新宋体" w:eastAsia="新宋体" w:hAnsi="新宋体"/>
                <w:szCs w:val="21"/>
              </w:rPr>
              <w:t>021年</w:t>
            </w:r>
            <w:r w:rsidR="00133303">
              <w:rPr>
                <w:rFonts w:ascii="新宋体" w:eastAsia="新宋体" w:hAnsi="新宋体" w:hint="eastAsia"/>
                <w:szCs w:val="21"/>
              </w:rPr>
              <w:t>实现营业总收入</w:t>
            </w:r>
            <w:r w:rsidR="00133303">
              <w:rPr>
                <w:rFonts w:ascii="新宋体" w:eastAsia="新宋体" w:hAnsi="新宋体"/>
                <w:szCs w:val="21"/>
              </w:rPr>
              <w:t>310,350.26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万元，同比增长</w:t>
            </w:r>
            <w:r w:rsidR="00133303" w:rsidRPr="00133303">
              <w:rPr>
                <w:rFonts w:ascii="新宋体" w:eastAsia="新宋体" w:hAnsi="新宋体"/>
                <w:szCs w:val="21"/>
              </w:rPr>
              <w:t>109.54%</w:t>
            </w:r>
            <w:r w:rsidR="00133303">
              <w:rPr>
                <w:rFonts w:ascii="新宋体" w:eastAsia="新宋体" w:hAnsi="新宋体" w:hint="eastAsia"/>
                <w:szCs w:val="21"/>
              </w:rPr>
              <w:t>；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实现利润总额</w:t>
            </w:r>
            <w:r w:rsidR="00133303">
              <w:rPr>
                <w:rFonts w:ascii="新宋体" w:eastAsia="新宋体" w:hAnsi="新宋体"/>
                <w:szCs w:val="21"/>
              </w:rPr>
              <w:t xml:space="preserve"> 28,272.27</w:t>
            </w:r>
            <w:r w:rsidR="00133303">
              <w:rPr>
                <w:rFonts w:ascii="新宋体" w:eastAsia="新宋体" w:hAnsi="新宋体" w:hint="eastAsia"/>
                <w:szCs w:val="21"/>
              </w:rPr>
              <w:t>万元，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同比增长</w:t>
            </w:r>
            <w:r w:rsidR="00133303" w:rsidRPr="00133303">
              <w:rPr>
                <w:rFonts w:ascii="新宋体" w:eastAsia="新宋体" w:hAnsi="新宋体"/>
                <w:szCs w:val="21"/>
              </w:rPr>
              <w:t>11.34%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；实现归属于母公司所有者的净利润</w:t>
            </w:r>
            <w:r w:rsidR="00133303" w:rsidRPr="00133303">
              <w:rPr>
                <w:rFonts w:ascii="新宋体" w:eastAsia="新宋体" w:hAnsi="新宋体"/>
                <w:szCs w:val="21"/>
              </w:rPr>
              <w:t>25,747.31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万元，同比增长</w:t>
            </w:r>
            <w:r w:rsidR="00133303" w:rsidRPr="00133303">
              <w:rPr>
                <w:rFonts w:ascii="新宋体" w:eastAsia="新宋体" w:hAnsi="新宋体"/>
                <w:szCs w:val="21"/>
              </w:rPr>
              <w:t>15.34%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；实现归属于母公司所有者的扣除非经常性损益的净利润</w:t>
            </w:r>
            <w:r w:rsidR="00133303">
              <w:rPr>
                <w:rFonts w:ascii="新宋体" w:eastAsia="新宋体" w:hAnsi="新宋体"/>
                <w:szCs w:val="21"/>
              </w:rPr>
              <w:t>25,003.22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万元，同比增长</w:t>
            </w:r>
            <w:r w:rsidR="00133303" w:rsidRPr="00133303">
              <w:rPr>
                <w:rFonts w:ascii="新宋体" w:eastAsia="新宋体" w:hAnsi="新宋体"/>
                <w:szCs w:val="21"/>
              </w:rPr>
              <w:t>16.16%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。</w:t>
            </w:r>
          </w:p>
          <w:p w14:paraId="44A3572E" w14:textId="338EDE35" w:rsidR="00F16483" w:rsidRDefault="00133303" w:rsidP="0013330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 w:rsidRPr="00133303">
              <w:rPr>
                <w:rFonts w:ascii="新宋体" w:eastAsia="新宋体" w:hAnsi="新宋体" w:hint="eastAsia"/>
                <w:szCs w:val="21"/>
              </w:rPr>
              <w:t>公司</w:t>
            </w:r>
            <w:r w:rsidR="00F16483">
              <w:rPr>
                <w:rFonts w:ascii="新宋体" w:eastAsia="新宋体" w:hAnsi="新宋体" w:hint="eastAsia"/>
                <w:szCs w:val="21"/>
              </w:rPr>
              <w:t>预计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>021年年末</w:t>
            </w:r>
            <w:r w:rsidRPr="00133303">
              <w:rPr>
                <w:rFonts w:ascii="新宋体" w:eastAsia="新宋体" w:hAnsi="新宋体" w:hint="eastAsia"/>
                <w:szCs w:val="21"/>
              </w:rPr>
              <w:t>总资产</w:t>
            </w:r>
            <w:r>
              <w:rPr>
                <w:rFonts w:ascii="新宋体" w:eastAsia="新宋体" w:hAnsi="新宋体"/>
                <w:szCs w:val="21"/>
              </w:rPr>
              <w:t>371,217.82</w:t>
            </w:r>
            <w:r>
              <w:rPr>
                <w:rFonts w:ascii="新宋体" w:eastAsia="新宋体" w:hAnsi="新宋体" w:hint="eastAsia"/>
                <w:szCs w:val="21"/>
              </w:rPr>
              <w:t>万元，</w:t>
            </w:r>
            <w:r w:rsidRPr="00133303">
              <w:rPr>
                <w:rFonts w:ascii="新宋体" w:eastAsia="新宋体" w:hAnsi="新宋体" w:hint="eastAsia"/>
                <w:szCs w:val="21"/>
              </w:rPr>
              <w:t>同比增长</w:t>
            </w:r>
            <w:r w:rsidRPr="00133303">
              <w:rPr>
                <w:rFonts w:ascii="新宋体" w:eastAsia="新宋体" w:hAnsi="新宋体"/>
                <w:szCs w:val="21"/>
              </w:rPr>
              <w:t>143.00%</w:t>
            </w:r>
            <w:r w:rsidRPr="00133303">
              <w:rPr>
                <w:rFonts w:ascii="新宋体" w:eastAsia="新宋体" w:hAnsi="新宋体" w:hint="eastAsia"/>
                <w:szCs w:val="21"/>
              </w:rPr>
              <w:t>；归属于母公司的所有者权益</w:t>
            </w:r>
            <w:r>
              <w:rPr>
                <w:rFonts w:ascii="新宋体" w:eastAsia="新宋体" w:hAnsi="新宋体"/>
                <w:szCs w:val="21"/>
              </w:rPr>
              <w:t>231,153.43</w:t>
            </w:r>
            <w:r w:rsidRPr="00133303">
              <w:rPr>
                <w:rFonts w:ascii="新宋体" w:eastAsia="新宋体" w:hAnsi="新宋体" w:hint="eastAsia"/>
                <w:szCs w:val="21"/>
              </w:rPr>
              <w:t>万元，同比增长</w:t>
            </w:r>
            <w:r w:rsidRPr="00133303">
              <w:rPr>
                <w:rFonts w:ascii="新宋体" w:eastAsia="新宋体" w:hAnsi="新宋体"/>
                <w:szCs w:val="21"/>
              </w:rPr>
              <w:t xml:space="preserve"> 207.09%</w:t>
            </w:r>
            <w:r w:rsidRPr="00133303">
              <w:rPr>
                <w:rFonts w:ascii="新宋体" w:eastAsia="新宋体" w:hAnsi="新宋体" w:hint="eastAsia"/>
                <w:szCs w:val="21"/>
              </w:rPr>
              <w:t>。</w:t>
            </w:r>
          </w:p>
          <w:p w14:paraId="4F520EAA" w14:textId="42D6E7BF" w:rsidR="00ED687A" w:rsidRPr="00AB2A40" w:rsidRDefault="00F16483" w:rsidP="00F16483">
            <w:pPr>
              <w:pStyle w:val="ac"/>
              <w:spacing w:line="276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>021年</w:t>
            </w:r>
            <w:r>
              <w:rPr>
                <w:rFonts w:ascii="新宋体" w:eastAsia="新宋体" w:hAnsi="新宋体" w:hint="eastAsia"/>
                <w:szCs w:val="21"/>
              </w:rPr>
              <w:t>全球光伏行业进入跨越式发展阶段，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公司</w:t>
            </w:r>
            <w:r w:rsidR="00CC3BA9">
              <w:rPr>
                <w:rFonts w:ascii="新宋体" w:eastAsia="新宋体" w:hAnsi="新宋体" w:hint="eastAsia"/>
                <w:szCs w:val="21"/>
              </w:rPr>
              <w:t>上市后</w:t>
            </w:r>
            <w:r w:rsidR="00133303" w:rsidRPr="00133303">
              <w:rPr>
                <w:rFonts w:ascii="新宋体" w:eastAsia="新宋体" w:hAnsi="新宋体" w:hint="eastAsia"/>
                <w:szCs w:val="21"/>
              </w:rPr>
              <w:t>把握历史性发展机遇，坚定不移推进募集资金项目以快速增加产能，积极开拓市场并稳步提升市场占有率，公司产品产销量大幅增长。同时，公司发行股票募集资金到位以及公司业务规模增长，公司各项资产规模相应实现较大幅度增长。</w:t>
            </w:r>
          </w:p>
          <w:p w14:paraId="21B674BB" w14:textId="1F498178" w:rsidR="0060173A" w:rsidRPr="003E367C" w:rsidRDefault="0060173A" w:rsidP="008F19F9">
            <w:pPr>
              <w:spacing w:before="240" w:after="0" w:line="276" w:lineRule="auto"/>
              <w:jc w:val="both"/>
              <w:rPr>
                <w:rFonts w:ascii="宋体" w:eastAsia="宋体" w:hAnsi="宋体" w:cs="Arial"/>
                <w:b/>
                <w:sz w:val="21"/>
                <w:szCs w:val="21"/>
              </w:rPr>
            </w:pPr>
            <w:r w:rsidRPr="003E367C">
              <w:rPr>
                <w:rFonts w:ascii="宋体" w:eastAsia="宋体" w:hAnsi="宋体" w:cs="Arial" w:hint="eastAsia"/>
                <w:b/>
                <w:sz w:val="21"/>
                <w:szCs w:val="21"/>
              </w:rPr>
              <w:t>第</w:t>
            </w:r>
            <w:r w:rsidR="00F16483">
              <w:rPr>
                <w:rFonts w:ascii="宋体" w:eastAsia="宋体" w:hAnsi="宋体" w:cs="Arial" w:hint="eastAsia"/>
                <w:b/>
                <w:sz w:val="21"/>
                <w:szCs w:val="21"/>
              </w:rPr>
              <w:t>二部分：</w:t>
            </w:r>
            <w:r w:rsidRPr="003E367C">
              <w:rPr>
                <w:rFonts w:ascii="宋体" w:eastAsia="宋体" w:hAnsi="宋体" w:cs="Arial" w:hint="eastAsia"/>
                <w:b/>
                <w:sz w:val="21"/>
                <w:szCs w:val="21"/>
              </w:rPr>
              <w:t>提问</w:t>
            </w:r>
            <w:r w:rsidR="00F16483">
              <w:rPr>
                <w:rFonts w:ascii="宋体" w:eastAsia="宋体" w:hAnsi="宋体" w:cs="Arial" w:hint="eastAsia"/>
                <w:b/>
                <w:sz w:val="21"/>
                <w:szCs w:val="21"/>
              </w:rPr>
              <w:t>及回答</w:t>
            </w:r>
          </w:p>
          <w:p w14:paraId="49CF15DA" w14:textId="70F6DA56" w:rsidR="00AB2A40" w:rsidRPr="00AB2A40" w:rsidRDefault="00AB2A40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B2A40">
              <w:rPr>
                <w:rFonts w:ascii="宋体" w:eastAsia="宋体" w:hAnsi="宋体"/>
                <w:b/>
                <w:bCs/>
                <w:sz w:val="21"/>
                <w:szCs w:val="21"/>
              </w:rPr>
              <w:t>1</w:t>
            </w:r>
            <w:r w:rsidRPr="00AB2A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71300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请介绍一下</w:t>
            </w:r>
            <w:r w:rsidRPr="00AB2A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2021年</w:t>
            </w:r>
            <w:r w:rsidR="0071300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行业的</w:t>
            </w:r>
            <w:r w:rsidR="00713000">
              <w:rPr>
                <w:rFonts w:ascii="宋体" w:eastAsia="宋体" w:hAnsi="宋体"/>
                <w:b/>
                <w:bCs/>
                <w:sz w:val="21"/>
                <w:szCs w:val="21"/>
              </w:rPr>
              <w:t>整体情况</w:t>
            </w:r>
            <w:r w:rsidR="00767CC6">
              <w:rPr>
                <w:rFonts w:ascii="宋体" w:eastAsia="宋体" w:hAnsi="宋体"/>
                <w:b/>
                <w:bCs/>
                <w:sz w:val="21"/>
                <w:szCs w:val="21"/>
              </w:rPr>
              <w:t>？</w:t>
            </w:r>
          </w:p>
          <w:p w14:paraId="198FBE94" w14:textId="2A27EB74" w:rsidR="00BD3057" w:rsidRPr="00BD3057" w:rsidRDefault="00AB2A40" w:rsidP="00BE0634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AB2A40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27707D" w:rsidRPr="00AB2A4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13000">
              <w:rPr>
                <w:rFonts w:ascii="宋体" w:eastAsia="宋体" w:hAnsi="宋体"/>
                <w:sz w:val="21"/>
                <w:szCs w:val="21"/>
              </w:rPr>
              <w:t>光伏行业从</w:t>
            </w:r>
            <w:r w:rsidR="00713000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713000">
              <w:rPr>
                <w:rFonts w:ascii="宋体" w:eastAsia="宋体" w:hAnsi="宋体"/>
                <w:sz w:val="21"/>
                <w:szCs w:val="21"/>
              </w:rPr>
              <w:t>020年</w:t>
            </w:r>
            <w:r w:rsidR="00713000">
              <w:rPr>
                <w:rFonts w:ascii="宋体" w:eastAsia="宋体" w:hAnsi="宋体" w:hint="eastAsia"/>
                <w:sz w:val="21"/>
                <w:szCs w:val="21"/>
              </w:rPr>
              <w:t>4季度受国家双碳等多方面利好消息的影响，行业超预期发展，从而引发了上游产业链的供求关系</w:t>
            </w:r>
            <w:r w:rsidR="00BD3057">
              <w:rPr>
                <w:rFonts w:ascii="宋体" w:eastAsia="宋体" w:hAnsi="宋体" w:hint="eastAsia"/>
                <w:sz w:val="21"/>
                <w:szCs w:val="21"/>
              </w:rPr>
              <w:t>发生了</w:t>
            </w:r>
            <w:r w:rsidR="00713000">
              <w:rPr>
                <w:rFonts w:ascii="宋体" w:eastAsia="宋体" w:hAnsi="宋体" w:hint="eastAsia"/>
                <w:sz w:val="21"/>
                <w:szCs w:val="21"/>
              </w:rPr>
              <w:t>变化</w:t>
            </w:r>
            <w:r w:rsidR="00BD3057">
              <w:rPr>
                <w:rFonts w:ascii="宋体" w:eastAsia="宋体" w:hAnsi="宋体" w:hint="eastAsia"/>
                <w:sz w:val="21"/>
                <w:szCs w:val="21"/>
              </w:rPr>
              <w:t>，其中硅料的供需矛盾最为突出。2</w:t>
            </w:r>
            <w:r w:rsidR="00BD3057">
              <w:rPr>
                <w:rFonts w:ascii="宋体" w:eastAsia="宋体" w:hAnsi="宋体"/>
                <w:sz w:val="21"/>
                <w:szCs w:val="21"/>
              </w:rPr>
              <w:t>021年硅料出现了</w:t>
            </w:r>
            <w:r w:rsidR="00BD3057">
              <w:rPr>
                <w:rFonts w:ascii="宋体" w:eastAsia="宋体" w:hAnsi="宋体" w:hint="eastAsia"/>
                <w:sz w:val="21"/>
                <w:szCs w:val="21"/>
              </w:rPr>
              <w:t>3次较大幅度的涨价，导致光伏组件的成本相应提高，导致组件排产</w:t>
            </w:r>
            <w:r w:rsidR="00BD3057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随之波动，这样的波动幅度和频率在行业近年还是比较少见的，对行业产业链中的各个环节都带来比较大的挑战。</w:t>
            </w:r>
          </w:p>
          <w:p w14:paraId="723BDF16" w14:textId="77777777" w:rsidR="00767CC6" w:rsidRDefault="00767CC6" w:rsidP="00BE0634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02B10589" w14:textId="2D2633A4" w:rsidR="00767CC6" w:rsidRPr="00767CC6" w:rsidRDefault="008A00E1" w:rsidP="00BE0634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2</w:t>
            </w:r>
            <w:r w:rsidR="00767CC6" w:rsidRPr="00AB2A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BD3057">
              <w:rPr>
                <w:rFonts w:ascii="宋体" w:eastAsia="宋体" w:hAnsi="宋体"/>
                <w:b/>
                <w:bCs/>
                <w:sz w:val="21"/>
                <w:szCs w:val="21"/>
              </w:rPr>
              <w:t>2</w:t>
            </w:r>
            <w:r w:rsidR="00767CC6">
              <w:rPr>
                <w:rFonts w:ascii="宋体" w:eastAsia="宋体" w:hAnsi="宋体"/>
                <w:b/>
                <w:bCs/>
                <w:sz w:val="21"/>
                <w:szCs w:val="21"/>
              </w:rPr>
              <w:t>022年</w:t>
            </w:r>
            <w:r w:rsidR="00BD3057">
              <w:rPr>
                <w:rFonts w:ascii="宋体" w:eastAsia="宋体" w:hAnsi="宋体"/>
                <w:b/>
                <w:bCs/>
                <w:sz w:val="21"/>
                <w:szCs w:val="21"/>
              </w:rPr>
              <w:t>整体行业的发展趋势如何</w:t>
            </w:r>
            <w:r w:rsidR="00CC3BA9">
              <w:rPr>
                <w:rFonts w:ascii="宋体" w:eastAsia="宋体" w:hAnsi="宋体"/>
                <w:b/>
                <w:bCs/>
                <w:sz w:val="21"/>
                <w:szCs w:val="21"/>
              </w:rPr>
              <w:t>，公司的判断较之前可有变化</w:t>
            </w:r>
            <w:r w:rsidR="00BD3057">
              <w:rPr>
                <w:rFonts w:ascii="宋体" w:eastAsia="宋体" w:hAnsi="宋体"/>
                <w:b/>
                <w:bCs/>
                <w:sz w:val="21"/>
                <w:szCs w:val="21"/>
              </w:rPr>
              <w:t>？</w:t>
            </w:r>
          </w:p>
          <w:p w14:paraId="273FE72E" w14:textId="593327D6" w:rsidR="00267A3B" w:rsidRDefault="00BD3057" w:rsidP="00CC3BA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目前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硅料产能持续增加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8A00E1">
              <w:rPr>
                <w:rFonts w:ascii="宋体" w:eastAsia="宋体" w:hAnsi="宋体"/>
                <w:sz w:val="21"/>
                <w:szCs w:val="21"/>
              </w:rPr>
              <w:t>硅料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022年规划的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供应总量较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021年有较大幅度的提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升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，</w:t>
            </w:r>
            <w:r w:rsidR="008A00E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A00E1">
              <w:rPr>
                <w:rFonts w:ascii="宋体" w:eastAsia="宋体" w:hAnsi="宋体"/>
                <w:sz w:val="21"/>
                <w:szCs w:val="21"/>
              </w:rPr>
              <w:t>022年</w:t>
            </w:r>
            <w:r w:rsidR="00267A3B">
              <w:rPr>
                <w:rFonts w:ascii="宋体" w:eastAsia="宋体" w:hAnsi="宋体"/>
                <w:sz w:val="21"/>
                <w:szCs w:val="21"/>
              </w:rPr>
              <w:t>行业整体需求</w:t>
            </w:r>
            <w:r w:rsidR="008A00E1">
              <w:rPr>
                <w:rFonts w:ascii="宋体" w:eastAsia="宋体" w:hAnsi="宋体"/>
                <w:sz w:val="21"/>
                <w:szCs w:val="21"/>
              </w:rPr>
              <w:t>有望达到</w:t>
            </w:r>
            <w:r w:rsidR="008A00E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A00E1">
              <w:rPr>
                <w:rFonts w:ascii="宋体" w:eastAsia="宋体" w:hAnsi="宋体"/>
                <w:sz w:val="21"/>
                <w:szCs w:val="21"/>
              </w:rPr>
              <w:t>00-220GW，相较</w:t>
            </w:r>
            <w:r w:rsidR="008A00E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A00E1">
              <w:rPr>
                <w:rFonts w:ascii="宋体" w:eastAsia="宋体" w:hAnsi="宋体"/>
                <w:sz w:val="21"/>
                <w:szCs w:val="21"/>
              </w:rPr>
              <w:t>021年有</w:t>
            </w:r>
            <w:r w:rsidR="008A00E1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8A00E1">
              <w:rPr>
                <w:rFonts w:ascii="宋体" w:eastAsia="宋体" w:hAnsi="宋体"/>
                <w:sz w:val="21"/>
                <w:szCs w:val="21"/>
              </w:rPr>
              <w:t>0%-50%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的增长，加上近期欧洲市场以及分布式电站的增长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，都提升了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终端市场的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需求总量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，公司对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022年全年行业总量的增长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仍旧坚定保持</w:t>
            </w:r>
            <w:r w:rsidR="00CC3BA9">
              <w:rPr>
                <w:rFonts w:ascii="宋体" w:eastAsia="宋体" w:hAnsi="宋体"/>
                <w:sz w:val="21"/>
                <w:szCs w:val="21"/>
              </w:rPr>
              <w:t>乐观态度。</w:t>
            </w:r>
          </w:p>
          <w:p w14:paraId="4AFC5C93" w14:textId="2D5BCC79" w:rsidR="00CC3BA9" w:rsidRDefault="00CC3BA9" w:rsidP="00CC3BA9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由于中美贸易战尚未缓解以及俄乌战争的爆发，国际环境的不确定性仍很大。同时疫情及限电等突发性因素加剧了供应链的不均衡，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我们预估</w:t>
            </w:r>
            <w:r>
              <w:rPr>
                <w:rFonts w:ascii="宋体" w:eastAsia="宋体" w:hAnsi="宋体"/>
                <w:sz w:val="21"/>
                <w:szCs w:val="21"/>
              </w:rPr>
              <w:t>行业波动仍将维持一段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时间，对企业的产能冗余以及弹性管理能力都提出了更高的要求。</w:t>
            </w:r>
          </w:p>
          <w:p w14:paraId="62C7D478" w14:textId="77777777" w:rsidR="004D64B0" w:rsidRPr="004D64B0" w:rsidRDefault="004D64B0" w:rsidP="004D64B0">
            <w:pPr>
              <w:spacing w:after="0" w:line="276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14:paraId="14BF0357" w14:textId="3AE6071D" w:rsidR="001324F4" w:rsidRPr="00817EC9" w:rsidRDefault="00BE0634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  <w:r w:rsidR="001324F4"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、公司</w:t>
            </w:r>
            <w:r w:rsidR="008A00E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 w:rsidR="008A00E1">
              <w:rPr>
                <w:rFonts w:ascii="宋体" w:eastAsia="宋体" w:hAnsi="宋体"/>
                <w:b/>
                <w:bCs/>
                <w:sz w:val="21"/>
                <w:szCs w:val="21"/>
              </w:rPr>
              <w:t>022</w:t>
            </w:r>
            <w:r w:rsidR="00D1442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</w:t>
            </w:r>
            <w:r w:rsidR="00241DA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的</w:t>
            </w:r>
            <w:r w:rsidR="00D1442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扩产计划</w:t>
            </w:r>
            <w:r w:rsidR="00CC3BA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中，不同种类的胶膜的规划如何</w:t>
            </w:r>
            <w:r w:rsidR="00241DA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35BFFFAC" w14:textId="77777777" w:rsidR="00873134" w:rsidRDefault="001324F4" w:rsidP="00ED687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817EC9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E91DFD">
              <w:rPr>
                <w:rFonts w:ascii="宋体" w:eastAsia="宋体" w:hAnsi="宋体" w:hint="eastAsia"/>
                <w:sz w:val="21"/>
                <w:szCs w:val="21"/>
              </w:rPr>
              <w:t>公司</w:t>
            </w:r>
            <w:r w:rsidR="009B426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B4262">
              <w:rPr>
                <w:rFonts w:ascii="宋体" w:eastAsia="宋体" w:hAnsi="宋体"/>
                <w:sz w:val="21"/>
                <w:szCs w:val="21"/>
              </w:rPr>
              <w:t>021年</w:t>
            </w:r>
            <w:r w:rsidR="009B4262">
              <w:rPr>
                <w:rFonts w:ascii="宋体" w:eastAsia="宋体" w:hAnsi="宋体" w:hint="eastAsia"/>
                <w:sz w:val="21"/>
                <w:szCs w:val="21"/>
              </w:rPr>
              <w:t>3季度制定并经审议通过了</w:t>
            </w:r>
            <w:r w:rsidR="003C664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3C664A">
              <w:rPr>
                <w:rFonts w:ascii="宋体" w:eastAsia="宋体" w:hAnsi="宋体"/>
                <w:sz w:val="21"/>
                <w:szCs w:val="21"/>
              </w:rPr>
              <w:t>022</w:t>
            </w:r>
            <w:r w:rsidR="003C664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9B4262">
              <w:rPr>
                <w:rFonts w:ascii="宋体" w:eastAsia="宋体" w:hAnsi="宋体" w:hint="eastAsia"/>
                <w:sz w:val="21"/>
                <w:szCs w:val="21"/>
              </w:rPr>
              <w:t>盐城和上饶二次扩产项目</w:t>
            </w:r>
            <w:r w:rsidR="00E91DFD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该项目主要为项目所在地就近的组件厂配套提供胶膜。</w:t>
            </w:r>
          </w:p>
          <w:p w14:paraId="590BAC03" w14:textId="30E9E601" w:rsidR="00D1442E" w:rsidRDefault="00CC3BA9" w:rsidP="00873134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从组件技术发展路径看，未来双玻组件的增长将明显提高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，加之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N型电池组件会更适合使用P</w:t>
            </w:r>
            <w:r>
              <w:rPr>
                <w:rFonts w:ascii="宋体" w:eastAsia="宋体" w:hAnsi="宋体"/>
                <w:sz w:val="21"/>
                <w:szCs w:val="21"/>
              </w:rPr>
              <w:t>OE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胶膜，</w:t>
            </w:r>
            <w:r>
              <w:rPr>
                <w:rFonts w:ascii="宋体" w:eastAsia="宋体" w:hAnsi="宋体"/>
                <w:sz w:val="21"/>
                <w:szCs w:val="21"/>
              </w:rPr>
              <w:t>公司在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扩产</w:t>
            </w:r>
            <w:r>
              <w:rPr>
                <w:rFonts w:ascii="宋体" w:eastAsia="宋体" w:hAnsi="宋体"/>
                <w:sz w:val="21"/>
                <w:szCs w:val="21"/>
              </w:rPr>
              <w:t>产品的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产能</w:t>
            </w:r>
            <w:r>
              <w:rPr>
                <w:rFonts w:ascii="宋体" w:eastAsia="宋体" w:hAnsi="宋体"/>
                <w:sz w:val="21"/>
                <w:szCs w:val="21"/>
              </w:rPr>
              <w:t>安排上，向共挤型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OE以及透明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>
              <w:rPr>
                <w:rFonts w:ascii="宋体" w:eastAsia="宋体" w:hAnsi="宋体"/>
                <w:sz w:val="21"/>
                <w:szCs w:val="21"/>
              </w:rPr>
              <w:t>VA胶膜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明显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倾斜，以满足未来这两类胶膜的快速增长。 </w:t>
            </w:r>
          </w:p>
          <w:p w14:paraId="3F08B1A9" w14:textId="77777777" w:rsidR="00817EC9" w:rsidRDefault="00817EC9" w:rsidP="00ED687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13A324EC" w14:textId="05299C7C" w:rsidR="009B4262" w:rsidRDefault="009B4262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4</w:t>
            </w:r>
            <w:r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CC3BA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公司经营性现金流指标负值很大，主要原因是哪些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CC3BA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如果公司随着产能增加而销售收入增长，营运资金可否顺利解决？</w:t>
            </w:r>
          </w:p>
          <w:p w14:paraId="3CFC1A5B" w14:textId="3A7CAD2A" w:rsidR="009B4262" w:rsidRDefault="009B4262" w:rsidP="00CC3BA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817EC9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胶膜行业惯例占用较大金额的营运资金，主要用于现款向上游树脂厂采购并同时需要给下游客户一定账期，账期期满后收取的主要是6个月的汇票。公司上市募集资金到位后，超募资金主要用于现款购买原料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，同时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未将收取的票据进行贴现以节约财务成本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这样的运营模式导致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行业</w:t>
            </w:r>
            <w:r w:rsidR="00CC3BA9">
              <w:rPr>
                <w:rFonts w:ascii="宋体" w:eastAsia="宋体" w:hAnsi="宋体" w:hint="eastAsia"/>
                <w:sz w:val="21"/>
                <w:szCs w:val="21"/>
              </w:rPr>
              <w:t>普遍出现经营性现金流为负值的情况。</w:t>
            </w:r>
          </w:p>
          <w:p w14:paraId="23CD76A9" w14:textId="21887860" w:rsidR="00CC3BA9" w:rsidRDefault="00CC3BA9" w:rsidP="00873134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随着公司营业收入的快速增加，营运资金需求持续增长。公司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目前</w:t>
            </w:r>
            <w:r>
              <w:rPr>
                <w:rFonts w:ascii="宋体" w:eastAsia="宋体" w:hAnsi="宋体"/>
                <w:sz w:val="21"/>
                <w:szCs w:val="21"/>
              </w:rPr>
              <w:t>营运资金储备充足，一方面报告期末有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充足的货币</w:t>
            </w:r>
            <w:r>
              <w:rPr>
                <w:rFonts w:ascii="宋体" w:eastAsia="宋体" w:hAnsi="宋体"/>
                <w:sz w:val="21"/>
                <w:szCs w:val="21"/>
              </w:rPr>
              <w:t>资金以及较大金额的汇票可以使用，同时公司储备有银行等融资机构的较大金额的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贷款</w:t>
            </w:r>
            <w:r>
              <w:rPr>
                <w:rFonts w:ascii="宋体" w:eastAsia="宋体" w:hAnsi="宋体"/>
                <w:sz w:val="21"/>
                <w:szCs w:val="21"/>
              </w:rPr>
              <w:t>额度可以使用，可以满足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公司</w:t>
            </w:r>
            <w:r>
              <w:rPr>
                <w:rFonts w:ascii="宋体" w:eastAsia="宋体" w:hAnsi="宋体"/>
                <w:sz w:val="21"/>
                <w:szCs w:val="21"/>
              </w:rPr>
              <w:t>营运资金的周转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需求</w:t>
            </w:r>
            <w:r>
              <w:rPr>
                <w:rFonts w:ascii="宋体" w:eastAsia="宋体" w:hAnsi="宋体"/>
                <w:sz w:val="21"/>
                <w:szCs w:val="21"/>
              </w:rPr>
              <w:t>。</w:t>
            </w:r>
          </w:p>
          <w:p w14:paraId="05444827" w14:textId="7139CECA" w:rsidR="009B4262" w:rsidRPr="009B4262" w:rsidRDefault="009B4262" w:rsidP="00ED687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627BB6A3" w14:textId="102439D4" w:rsidR="00817EC9" w:rsidRPr="00817EC9" w:rsidRDefault="009B4262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5</w:t>
            </w:r>
            <w:r w:rsidR="00CC3BA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、目前</w:t>
            </w:r>
            <w:r w:rsidR="00F5504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E</w:t>
            </w:r>
            <w:r w:rsidR="00F55042">
              <w:rPr>
                <w:rFonts w:ascii="宋体" w:eastAsia="宋体" w:hAnsi="宋体"/>
                <w:b/>
                <w:bCs/>
                <w:sz w:val="21"/>
                <w:szCs w:val="21"/>
              </w:rPr>
              <w:t>VA</w:t>
            </w:r>
            <w:r w:rsidR="00F5504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树脂</w:t>
            </w:r>
            <w:r w:rsidR="00CC3BA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国产</w:t>
            </w:r>
            <w:r w:rsidR="00F5504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供应商</w:t>
            </w:r>
            <w:r w:rsidR="00CC3BA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是否可以稳定供货</w:t>
            </w:r>
            <w:r w:rsidR="00F5504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9220F7" w:rsidRPr="00817EC9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</w:p>
          <w:p w14:paraId="3152B838" w14:textId="79E2181A" w:rsidR="003030AB" w:rsidRDefault="00CC3BA9" w:rsidP="00CC3BA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答：2</w:t>
            </w:r>
            <w:r>
              <w:rPr>
                <w:rFonts w:ascii="宋体" w:eastAsia="宋体" w:hAnsi="宋体"/>
                <w:sz w:val="21"/>
                <w:szCs w:val="21"/>
              </w:rPr>
              <w:t>021年有扩产计划的国产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VA树脂的</w:t>
            </w:r>
            <w:r>
              <w:rPr>
                <w:rFonts w:ascii="宋体" w:eastAsia="宋体" w:hAnsi="宋体"/>
                <w:sz w:val="21"/>
                <w:szCs w:val="21"/>
              </w:rPr>
              <w:t>供应商有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4家，目前均已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成功开车并生产出光伏级树脂。公司和这些供应商均保持了良好的沟通与合作，</w:t>
            </w:r>
            <w:r>
              <w:rPr>
                <w:rFonts w:ascii="宋体" w:eastAsia="宋体" w:hAnsi="宋体"/>
                <w:sz w:val="21"/>
                <w:szCs w:val="21"/>
              </w:rPr>
              <w:t>公司通过开发不同配方等办法，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完成了树脂的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测试和验证工作，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保证了E</w:t>
            </w:r>
            <w:r>
              <w:rPr>
                <w:rFonts w:ascii="宋体" w:eastAsia="宋体" w:hAnsi="宋体"/>
                <w:sz w:val="21"/>
                <w:szCs w:val="21"/>
              </w:rPr>
              <w:t>VA树脂的使用和产出胶膜的品质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稳定并和如上这些供应商均保持稳定采购的合作关系。</w:t>
            </w:r>
          </w:p>
          <w:p w14:paraId="3BCBAB75" w14:textId="77777777" w:rsidR="00F1107B" w:rsidRDefault="00F1107B" w:rsidP="00F1107B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2912658E" w14:textId="0BBBD6AB" w:rsidR="003030AB" w:rsidRDefault="00F1107B" w:rsidP="003030AB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6</w:t>
            </w:r>
            <w:r w:rsidR="00531786"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A41D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胶膜在N型电池方面的应用要求和技术发展方向是怎样的</w:t>
            </w:r>
            <w:r w:rsidR="0001514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18BFCED5" w14:textId="2029D506" w:rsidR="00015149" w:rsidRDefault="00A41D8C" w:rsidP="003030AB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答：近期随着N</w:t>
            </w:r>
            <w:r>
              <w:rPr>
                <w:rFonts w:ascii="宋体" w:eastAsia="宋体" w:hAnsi="宋体"/>
                <w:sz w:val="21"/>
                <w:szCs w:val="21"/>
              </w:rPr>
              <w:t>型电池发展和应用不断进入到产业化阶段，胶膜</w:t>
            </w:r>
            <w:r w:rsidR="00873134">
              <w:rPr>
                <w:rFonts w:ascii="宋体" w:eastAsia="宋体" w:hAnsi="宋体" w:hint="eastAsia"/>
                <w:sz w:val="21"/>
                <w:szCs w:val="21"/>
              </w:rPr>
              <w:t>品质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也随之</w:t>
            </w:r>
            <w:r w:rsidR="00015149">
              <w:rPr>
                <w:rFonts w:ascii="宋体" w:eastAsia="宋体" w:hAnsi="宋体" w:hint="eastAsia"/>
                <w:sz w:val="21"/>
                <w:szCs w:val="21"/>
              </w:rPr>
              <w:t>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满足</w:t>
            </w:r>
            <w:r>
              <w:rPr>
                <w:rFonts w:ascii="宋体" w:eastAsia="宋体" w:hAnsi="宋体"/>
                <w:sz w:val="21"/>
                <w:szCs w:val="21"/>
              </w:rPr>
              <w:t>N型电池的使用要求的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方向发展。由于N型电池对胶膜的抗P</w:t>
            </w:r>
            <w:r>
              <w:rPr>
                <w:rFonts w:ascii="宋体" w:eastAsia="宋体" w:hAnsi="宋体"/>
                <w:sz w:val="21"/>
                <w:szCs w:val="21"/>
              </w:rPr>
              <w:t>ID要求更高，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OE胶膜更容易满足该项品质的要求。从</w:t>
            </w:r>
            <w:r w:rsidR="004B3607">
              <w:rPr>
                <w:rFonts w:ascii="宋体" w:eastAsia="宋体" w:hAnsi="宋体" w:hint="eastAsia"/>
                <w:sz w:val="21"/>
                <w:szCs w:val="21"/>
              </w:rPr>
              <w:t>测试和供应情况来看，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公司建议上下两层均使用共挤</w:t>
            </w:r>
            <w:r w:rsidR="00831C8D">
              <w:rPr>
                <w:rFonts w:ascii="宋体" w:eastAsia="宋体" w:hAnsi="宋体" w:hint="eastAsia"/>
                <w:sz w:val="21"/>
                <w:szCs w:val="21"/>
              </w:rPr>
              <w:t>型</w:t>
            </w:r>
            <w:r w:rsidR="00015149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="00015149">
              <w:rPr>
                <w:rFonts w:ascii="宋体" w:eastAsia="宋体" w:hAnsi="宋体"/>
                <w:sz w:val="21"/>
                <w:szCs w:val="21"/>
              </w:rPr>
              <w:t>OE</w:t>
            </w:r>
            <w:r w:rsidR="00F1107B">
              <w:rPr>
                <w:rFonts w:ascii="宋体" w:eastAsia="宋体" w:hAnsi="宋体" w:hint="eastAsia"/>
                <w:sz w:val="21"/>
                <w:szCs w:val="21"/>
              </w:rPr>
              <w:t>胶膜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的方案，</w:t>
            </w:r>
            <w:r w:rsidR="00F1107B">
              <w:rPr>
                <w:rFonts w:ascii="宋体" w:eastAsia="宋体" w:hAnsi="宋体" w:hint="eastAsia"/>
                <w:sz w:val="21"/>
                <w:szCs w:val="21"/>
              </w:rPr>
              <w:t>可以满足</w:t>
            </w:r>
            <w:r w:rsidR="00015149">
              <w:rPr>
                <w:rFonts w:ascii="宋体" w:eastAsia="宋体" w:hAnsi="宋体" w:hint="eastAsia"/>
                <w:sz w:val="21"/>
                <w:szCs w:val="21"/>
              </w:rPr>
              <w:t>新型组件的质量需求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，同时满足组件加工性能的要求</w:t>
            </w:r>
            <w:r w:rsidR="00831C8D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586885FE" w14:textId="77777777" w:rsidR="00015149" w:rsidRDefault="00015149" w:rsidP="003030AB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4857C671" w14:textId="7CA84E7D" w:rsidR="00804073" w:rsidRDefault="004B3607" w:rsidP="0080407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7</w:t>
            </w:r>
            <w:r w:rsidR="00FB61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D003D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公司对胶膜的技术发展路径以及未来占比的判断如何</w:t>
            </w:r>
            <w:r w:rsidR="0080407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2A0A4B16" w14:textId="56F84B6D" w:rsidR="004F7884" w:rsidRDefault="00804073" w:rsidP="0080407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817EC9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现阶段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光伏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组件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="00BD0660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  <w:r w:rsidR="003124B1">
              <w:rPr>
                <w:rFonts w:ascii="宋体" w:eastAsia="宋体" w:hAnsi="宋体" w:hint="eastAsia"/>
                <w:sz w:val="21"/>
                <w:szCs w:val="21"/>
              </w:rPr>
              <w:t>为</w:t>
            </w:r>
            <w:r w:rsidR="00BD0660">
              <w:rPr>
                <w:rFonts w:ascii="宋体" w:eastAsia="宋体" w:hAnsi="宋体" w:hint="eastAsia"/>
                <w:sz w:val="21"/>
                <w:szCs w:val="21"/>
              </w:rPr>
              <w:t>单玻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和双玻组件</w:t>
            </w:r>
            <w:r w:rsidR="00197094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单玻组件胶膜常规的使用方法为组件上层透明E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 xml:space="preserve">VA 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胶膜+下层白色增效E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VA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胶膜，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双玻组件胶膜可使用上下两层均为单层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P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OE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胶膜或者上层透明E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VA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胶膜+下层E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PE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型P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OE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。目前预测双玻组件的增长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会很快，透明E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VA胶膜和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PE型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OE胶膜的需求增加会较快。</w:t>
            </w:r>
          </w:p>
          <w:p w14:paraId="1B7E9CFD" w14:textId="545FCEEB" w:rsidR="00D003DA" w:rsidRDefault="0021345F" w:rsidP="00A41D8C">
            <w:pPr>
              <w:spacing w:after="0" w:line="276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目前了解到今年大型组件厂在N型电池的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D003DA">
              <w:rPr>
                <w:rFonts w:ascii="宋体" w:eastAsia="宋体" w:hAnsi="宋体"/>
                <w:sz w:val="21"/>
                <w:szCs w:val="21"/>
              </w:rPr>
              <w:t>OPCON</w:t>
            </w:r>
            <w:r>
              <w:rPr>
                <w:rFonts w:ascii="宋体" w:eastAsia="宋体" w:hAnsi="宋体"/>
                <w:sz w:val="21"/>
                <w:szCs w:val="21"/>
              </w:rPr>
              <w:t>组件的扩产布局比较快，下半年有望进入组件生产阶段，同时异质结</w:t>
            </w:r>
            <w:r w:rsidR="00A41D8C">
              <w:rPr>
                <w:rFonts w:ascii="宋体" w:eastAsia="宋体" w:hAnsi="宋体" w:hint="eastAsia"/>
                <w:sz w:val="21"/>
                <w:szCs w:val="21"/>
              </w:rPr>
              <w:t>的产能也在逐步增加。对N型电池的组件，公司</w:t>
            </w:r>
            <w:r w:rsidR="00197094">
              <w:rPr>
                <w:rFonts w:ascii="宋体" w:eastAsia="宋体" w:hAnsi="宋体" w:hint="eastAsia"/>
                <w:sz w:val="21"/>
                <w:szCs w:val="21"/>
              </w:rPr>
              <w:t>推荐</w:t>
            </w:r>
            <w:r w:rsidR="004F7884">
              <w:rPr>
                <w:rFonts w:ascii="宋体" w:eastAsia="宋体" w:hAnsi="宋体" w:hint="eastAsia"/>
                <w:sz w:val="21"/>
                <w:szCs w:val="21"/>
              </w:rPr>
              <w:t>使用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>
              <w:rPr>
                <w:rFonts w:ascii="宋体" w:eastAsia="宋体" w:hAnsi="宋体"/>
                <w:sz w:val="21"/>
                <w:szCs w:val="21"/>
              </w:rPr>
              <w:t>PE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型P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OE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</w:t>
            </w:r>
            <w:r w:rsidR="00A41D8C">
              <w:rPr>
                <w:rFonts w:ascii="宋体" w:eastAsia="宋体" w:hAnsi="宋体" w:hint="eastAsia"/>
                <w:sz w:val="21"/>
                <w:szCs w:val="21"/>
              </w:rPr>
              <w:t>并实践使用过程中也得到了验证。基于组件的技术发展方向，我们认为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伴随着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83066D">
              <w:rPr>
                <w:rFonts w:ascii="宋体" w:eastAsia="宋体" w:hAnsi="宋体"/>
                <w:sz w:val="21"/>
                <w:szCs w:val="21"/>
              </w:rPr>
              <w:t>OPCON</w:t>
            </w:r>
            <w:r w:rsidR="00A41D8C">
              <w:rPr>
                <w:rFonts w:ascii="宋体" w:eastAsia="宋体" w:hAnsi="宋体" w:hint="eastAsia"/>
                <w:sz w:val="21"/>
                <w:szCs w:val="21"/>
              </w:rPr>
              <w:t>和异质结的占比提高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，E</w:t>
            </w:r>
            <w:r>
              <w:rPr>
                <w:rFonts w:ascii="宋体" w:eastAsia="宋体" w:hAnsi="宋体"/>
                <w:sz w:val="21"/>
                <w:szCs w:val="21"/>
              </w:rPr>
              <w:t>PE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型P</w:t>
            </w:r>
            <w:r w:rsidR="0083066D">
              <w:rPr>
                <w:rFonts w:ascii="宋体" w:eastAsia="宋体" w:hAnsi="宋体"/>
                <w:sz w:val="21"/>
                <w:szCs w:val="21"/>
              </w:rPr>
              <w:t>OE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胶膜的</w:t>
            </w:r>
            <w:r w:rsidR="00A41D8C">
              <w:rPr>
                <w:rFonts w:ascii="宋体" w:eastAsia="宋体" w:hAnsi="宋体" w:hint="eastAsia"/>
                <w:sz w:val="21"/>
                <w:szCs w:val="21"/>
              </w:rPr>
              <w:t>占比也会相应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增加。</w:t>
            </w:r>
          </w:p>
          <w:p w14:paraId="75CEB5D6" w14:textId="77777777" w:rsidR="00A41D8C" w:rsidRDefault="00A41D8C" w:rsidP="00A41D8C">
            <w:pPr>
              <w:spacing w:after="0" w:line="276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14:paraId="73474DCC" w14:textId="7D3A1C06" w:rsidR="00D003DA" w:rsidRDefault="00FB6159" w:rsidP="00D003D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8</w:t>
            </w:r>
            <w:r w:rsidR="00D003DA"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D003D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公司可转债项目的进展如何？</w:t>
            </w:r>
          </w:p>
          <w:p w14:paraId="288BD442" w14:textId="36886E60" w:rsidR="00D003DA" w:rsidRPr="00D003DA" w:rsidRDefault="00D003DA" w:rsidP="00D003D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答：公司可转债项目的申请，于</w:t>
            </w:r>
            <w:r>
              <w:rPr>
                <w:rFonts w:ascii="宋体" w:eastAsia="宋体" w:hAnsi="宋体"/>
                <w:sz w:val="21"/>
                <w:szCs w:val="21"/>
              </w:rPr>
              <w:t>3月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3日经上交所评审会会议审批通过，后续将提交证监会备案并经备案通过后，</w:t>
            </w:r>
            <w:r w:rsidR="00873134">
              <w:rPr>
                <w:rFonts w:ascii="宋体" w:eastAsia="宋体" w:hAnsi="宋体"/>
                <w:sz w:val="21"/>
                <w:szCs w:val="21"/>
              </w:rPr>
              <w:t>将</w:t>
            </w:r>
            <w:r>
              <w:rPr>
                <w:rFonts w:ascii="宋体" w:eastAsia="宋体" w:hAnsi="宋体"/>
                <w:sz w:val="21"/>
                <w:szCs w:val="21"/>
              </w:rPr>
              <w:t>进入发行阶段。</w:t>
            </w:r>
          </w:p>
        </w:tc>
      </w:tr>
      <w:tr w:rsidR="00B15A90" w:rsidRPr="00C33376" w14:paraId="52369E78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782" w14:textId="77777777" w:rsidR="00594488" w:rsidRPr="00C3337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</w:t>
            </w:r>
          </w:p>
          <w:p w14:paraId="0E1DF3DF" w14:textId="7A0E0879" w:rsidR="00595828" w:rsidRPr="00C3337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（如有）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EC15DE6" w:rsidR="00486419" w:rsidRPr="00C33376" w:rsidRDefault="00BC6C82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06E35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C33376" w14:paraId="4BAAEEA4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C33376" w:rsidRDefault="00753D8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286F0A9F" w:rsidR="00753D88" w:rsidRPr="00C33376" w:rsidRDefault="008B48E9" w:rsidP="00225AF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197094">
              <w:rPr>
                <w:rFonts w:ascii="宋体" w:eastAsia="宋体" w:hAnsi="宋体"/>
                <w:color w:val="auto"/>
                <w:sz w:val="21"/>
                <w:szCs w:val="21"/>
              </w:rPr>
              <w:t>022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97094">
              <w:rPr>
                <w:rFonts w:ascii="宋体" w:eastAsia="宋体" w:hAnsi="宋体"/>
                <w:color w:val="auto"/>
                <w:sz w:val="21"/>
                <w:szCs w:val="21"/>
              </w:rPr>
              <w:t>0</w:t>
            </w:r>
            <w:r w:rsidR="00FB6159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FB6159">
              <w:rPr>
                <w:rFonts w:ascii="宋体" w:eastAsia="宋体" w:hAnsi="宋体"/>
                <w:color w:val="auto"/>
                <w:sz w:val="21"/>
                <w:szCs w:val="21"/>
              </w:rPr>
              <w:t>24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534BE8F3" w:rsidR="00E56F31" w:rsidRPr="00415B65" w:rsidRDefault="00E56F31" w:rsidP="002B5F97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415B65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B8D5B" w14:textId="77777777" w:rsidR="006E5E31" w:rsidRDefault="006E5E31" w:rsidP="00595828">
      <w:pPr>
        <w:spacing w:after="0" w:line="240" w:lineRule="auto"/>
      </w:pPr>
      <w:r>
        <w:separator/>
      </w:r>
    </w:p>
  </w:endnote>
  <w:endnote w:type="continuationSeparator" w:id="0">
    <w:p w14:paraId="45684FA9" w14:textId="77777777" w:rsidR="006E5E31" w:rsidRDefault="006E5E31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F7868" w14:textId="77777777" w:rsidR="006E5E31" w:rsidRDefault="006E5E31" w:rsidP="00595828">
      <w:pPr>
        <w:spacing w:after="0" w:line="240" w:lineRule="auto"/>
      </w:pPr>
      <w:r>
        <w:separator/>
      </w:r>
    </w:p>
  </w:footnote>
  <w:footnote w:type="continuationSeparator" w:id="0">
    <w:p w14:paraId="4E600F53" w14:textId="77777777" w:rsidR="006E5E31" w:rsidRDefault="006E5E31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47"/>
    <w:rsid w:val="00077A75"/>
    <w:rsid w:val="00077AE5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6670"/>
    <w:rsid w:val="001268DC"/>
    <w:rsid w:val="00126F77"/>
    <w:rsid w:val="001271E9"/>
    <w:rsid w:val="001275BF"/>
    <w:rsid w:val="00127CF0"/>
    <w:rsid w:val="001304ED"/>
    <w:rsid w:val="001306C3"/>
    <w:rsid w:val="00130A3C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6484"/>
    <w:rsid w:val="001664A6"/>
    <w:rsid w:val="001664AD"/>
    <w:rsid w:val="00166566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82E"/>
    <w:rsid w:val="00176DED"/>
    <w:rsid w:val="00177308"/>
    <w:rsid w:val="001774CD"/>
    <w:rsid w:val="00177759"/>
    <w:rsid w:val="00177A58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A99"/>
    <w:rsid w:val="001C4CB4"/>
    <w:rsid w:val="001C5035"/>
    <w:rsid w:val="001C58C0"/>
    <w:rsid w:val="001C5B12"/>
    <w:rsid w:val="001C619A"/>
    <w:rsid w:val="001C67EB"/>
    <w:rsid w:val="001C6B25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DC"/>
    <w:rsid w:val="001E710D"/>
    <w:rsid w:val="001E78E3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2180"/>
    <w:rsid w:val="002022A5"/>
    <w:rsid w:val="00202AE4"/>
    <w:rsid w:val="002043EF"/>
    <w:rsid w:val="00205B93"/>
    <w:rsid w:val="00206751"/>
    <w:rsid w:val="0020691D"/>
    <w:rsid w:val="00206CE7"/>
    <w:rsid w:val="00206DE9"/>
    <w:rsid w:val="00207ABB"/>
    <w:rsid w:val="00207D47"/>
    <w:rsid w:val="0021019A"/>
    <w:rsid w:val="00210373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5F6"/>
    <w:rsid w:val="00245B0F"/>
    <w:rsid w:val="00245D45"/>
    <w:rsid w:val="00245DD1"/>
    <w:rsid w:val="002461C7"/>
    <w:rsid w:val="00246AAE"/>
    <w:rsid w:val="00246D03"/>
    <w:rsid w:val="00246E14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FAD"/>
    <w:rsid w:val="002E227C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4787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6D76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367C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230B"/>
    <w:rsid w:val="0044275E"/>
    <w:rsid w:val="00442D41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9F3"/>
    <w:rsid w:val="004C0C2C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5199"/>
    <w:rsid w:val="004D55BB"/>
    <w:rsid w:val="004D55DC"/>
    <w:rsid w:val="004D56B0"/>
    <w:rsid w:val="004D5FA7"/>
    <w:rsid w:val="004D633F"/>
    <w:rsid w:val="004D64B0"/>
    <w:rsid w:val="004D6F7A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7826"/>
    <w:rsid w:val="005D79B7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F79"/>
    <w:rsid w:val="00633CC7"/>
    <w:rsid w:val="00633DD0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459"/>
    <w:rsid w:val="006A448A"/>
    <w:rsid w:val="006A54B7"/>
    <w:rsid w:val="006A5AA0"/>
    <w:rsid w:val="006A63B3"/>
    <w:rsid w:val="006A70C1"/>
    <w:rsid w:val="006A7195"/>
    <w:rsid w:val="006A75E3"/>
    <w:rsid w:val="006A7BA8"/>
    <w:rsid w:val="006B0ACE"/>
    <w:rsid w:val="006B0D0A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4410"/>
    <w:rsid w:val="0072450A"/>
    <w:rsid w:val="0072492B"/>
    <w:rsid w:val="00724C07"/>
    <w:rsid w:val="007252A8"/>
    <w:rsid w:val="00725537"/>
    <w:rsid w:val="0072637F"/>
    <w:rsid w:val="00727590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83F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B18"/>
    <w:rsid w:val="007842E2"/>
    <w:rsid w:val="00784D5B"/>
    <w:rsid w:val="007853D7"/>
    <w:rsid w:val="00785AE5"/>
    <w:rsid w:val="007861DC"/>
    <w:rsid w:val="007867D7"/>
    <w:rsid w:val="007868D2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AF2"/>
    <w:rsid w:val="00797D63"/>
    <w:rsid w:val="007A0168"/>
    <w:rsid w:val="007A08D0"/>
    <w:rsid w:val="007A094D"/>
    <w:rsid w:val="007A117F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C0283"/>
    <w:rsid w:val="007C0571"/>
    <w:rsid w:val="007C0808"/>
    <w:rsid w:val="007C0D29"/>
    <w:rsid w:val="007C124C"/>
    <w:rsid w:val="007C2473"/>
    <w:rsid w:val="007C2E30"/>
    <w:rsid w:val="007C3575"/>
    <w:rsid w:val="007C3603"/>
    <w:rsid w:val="007C36F0"/>
    <w:rsid w:val="007C49BF"/>
    <w:rsid w:val="007C4D86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17EC9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4EFC"/>
    <w:rsid w:val="008657E2"/>
    <w:rsid w:val="00865DA6"/>
    <w:rsid w:val="00865E7F"/>
    <w:rsid w:val="00865F22"/>
    <w:rsid w:val="00866DE4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B76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36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F7"/>
    <w:rsid w:val="009442A1"/>
    <w:rsid w:val="009447EB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961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E5D"/>
    <w:rsid w:val="009B0713"/>
    <w:rsid w:val="009B0A0A"/>
    <w:rsid w:val="009B0DB1"/>
    <w:rsid w:val="009B0E4E"/>
    <w:rsid w:val="009B1C7B"/>
    <w:rsid w:val="009B21A6"/>
    <w:rsid w:val="009B2BBD"/>
    <w:rsid w:val="009B2F47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F0435"/>
    <w:rsid w:val="009F05A0"/>
    <w:rsid w:val="009F0626"/>
    <w:rsid w:val="009F078A"/>
    <w:rsid w:val="009F0F45"/>
    <w:rsid w:val="009F1423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CF"/>
    <w:rsid w:val="009F5826"/>
    <w:rsid w:val="009F5B4F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23B2"/>
    <w:rsid w:val="00A92D24"/>
    <w:rsid w:val="00A93009"/>
    <w:rsid w:val="00A93DD2"/>
    <w:rsid w:val="00A95B18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150A"/>
    <w:rsid w:val="00C01534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722D"/>
    <w:rsid w:val="00C17511"/>
    <w:rsid w:val="00C20046"/>
    <w:rsid w:val="00C203BE"/>
    <w:rsid w:val="00C214D4"/>
    <w:rsid w:val="00C21EF7"/>
    <w:rsid w:val="00C2285F"/>
    <w:rsid w:val="00C22F08"/>
    <w:rsid w:val="00C2383D"/>
    <w:rsid w:val="00C24A42"/>
    <w:rsid w:val="00C251AF"/>
    <w:rsid w:val="00C262F6"/>
    <w:rsid w:val="00C263FE"/>
    <w:rsid w:val="00C2714D"/>
    <w:rsid w:val="00C276C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70E4"/>
    <w:rsid w:val="00C57C9A"/>
    <w:rsid w:val="00C6033A"/>
    <w:rsid w:val="00C60385"/>
    <w:rsid w:val="00C6068D"/>
    <w:rsid w:val="00C60B04"/>
    <w:rsid w:val="00C61129"/>
    <w:rsid w:val="00C61AEB"/>
    <w:rsid w:val="00C61C63"/>
    <w:rsid w:val="00C61E97"/>
    <w:rsid w:val="00C63158"/>
    <w:rsid w:val="00C63210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2059"/>
    <w:rsid w:val="00D722D2"/>
    <w:rsid w:val="00D72F13"/>
    <w:rsid w:val="00D73269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53"/>
    <w:rsid w:val="00F57CCE"/>
    <w:rsid w:val="00F57DA7"/>
    <w:rsid w:val="00F57DFF"/>
    <w:rsid w:val="00F60BA2"/>
    <w:rsid w:val="00F61540"/>
    <w:rsid w:val="00F61B88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c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0D5F-0A78-4B6F-88E4-571866AA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404</Words>
  <Characters>2304</Characters>
  <Application>Microsoft Office Word</Application>
  <DocSecurity>0</DocSecurity>
  <Lines>19</Lines>
  <Paragraphs>5</Paragraphs>
  <ScaleCrop>false</ScaleCrop>
  <Company>微软中国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HUAWEI</cp:lastModifiedBy>
  <cp:revision>7</cp:revision>
  <cp:lastPrinted>2021-01-15T08:56:00Z</cp:lastPrinted>
  <dcterms:created xsi:type="dcterms:W3CDTF">2022-03-31T02:29:00Z</dcterms:created>
  <dcterms:modified xsi:type="dcterms:W3CDTF">2022-03-31T10:23:00Z</dcterms:modified>
</cp:coreProperties>
</file>