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61F0" w14:textId="1AC9BD14" w:rsidR="00A54DA5" w:rsidRDefault="00843759" w:rsidP="00C33376">
      <w:pPr>
        <w:spacing w:after="220" w:line="276" w:lineRule="auto"/>
        <w:rPr>
          <w:rFonts w:ascii="宋体" w:eastAsia="宋体" w:hAnsi="宋体" w:cs="宋体"/>
          <w:color w:val="auto"/>
          <w:sz w:val="24"/>
        </w:rPr>
      </w:pPr>
      <w:r w:rsidRPr="006B0E96">
        <w:rPr>
          <w:rFonts w:ascii="宋体" w:eastAsia="宋体" w:hAnsi="宋体" w:cs="宋体"/>
          <w:color w:val="auto"/>
          <w:sz w:val="24"/>
        </w:rPr>
        <w:t>证券代码：</w:t>
      </w:r>
      <w:r w:rsidR="00BC6C82" w:rsidRPr="006B0E96">
        <w:rPr>
          <w:rFonts w:ascii="宋体" w:eastAsia="宋体" w:hAnsi="宋体" w:cs="宋体"/>
          <w:color w:val="auto"/>
          <w:sz w:val="24"/>
        </w:rPr>
        <w:t>688680</w:t>
      </w:r>
      <w:r w:rsidRPr="006B0E96">
        <w:rPr>
          <w:rFonts w:ascii="宋体" w:eastAsia="宋体" w:hAnsi="宋体" w:cs="宋体"/>
          <w:color w:val="auto"/>
          <w:sz w:val="24"/>
        </w:rPr>
        <w:t xml:space="preserve">                               </w:t>
      </w:r>
      <w:r w:rsidR="005563A9" w:rsidRPr="006B0E96">
        <w:rPr>
          <w:rFonts w:ascii="宋体" w:eastAsia="宋体" w:hAnsi="宋体" w:cs="宋体"/>
          <w:color w:val="auto"/>
          <w:sz w:val="24"/>
        </w:rPr>
        <w:t xml:space="preserve">            </w:t>
      </w:r>
      <w:r w:rsidRPr="006B0E96">
        <w:rPr>
          <w:rFonts w:ascii="宋体" w:eastAsia="宋体" w:hAnsi="宋体" w:cs="宋体"/>
          <w:color w:val="auto"/>
          <w:sz w:val="24"/>
        </w:rPr>
        <w:t xml:space="preserve">  </w:t>
      </w:r>
      <w:r w:rsidR="00595828" w:rsidRPr="006B0E96">
        <w:rPr>
          <w:rFonts w:ascii="宋体" w:eastAsia="宋体" w:hAnsi="宋体" w:cs="宋体"/>
          <w:color w:val="auto"/>
          <w:sz w:val="24"/>
        </w:rPr>
        <w:t>证券简称：</w:t>
      </w:r>
      <w:r w:rsidR="00BC6C82" w:rsidRPr="006B0E96">
        <w:rPr>
          <w:rFonts w:ascii="宋体" w:eastAsia="宋体" w:hAnsi="宋体" w:cs="宋体" w:hint="eastAsia"/>
          <w:color w:val="auto"/>
          <w:sz w:val="24"/>
        </w:rPr>
        <w:t>海优新材</w:t>
      </w:r>
    </w:p>
    <w:p w14:paraId="4BD1AF36" w14:textId="110F5FA3" w:rsidR="00C56DCA" w:rsidRPr="006B0E96" w:rsidRDefault="001974E9" w:rsidP="00C33376">
      <w:pPr>
        <w:spacing w:after="220" w:line="276" w:lineRule="auto"/>
        <w:rPr>
          <w:rFonts w:ascii="宋体" w:eastAsia="宋体" w:hAnsi="宋体"/>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18008</w:t>
      </w:r>
      <w:r w:rsidRPr="006B0E96">
        <w:rPr>
          <w:rFonts w:ascii="宋体" w:eastAsia="宋体" w:hAnsi="宋体" w:cs="宋体"/>
          <w:color w:val="auto"/>
          <w:sz w:val="24"/>
        </w:rPr>
        <w:t xml:space="preserve">                                             </w:t>
      </w:r>
      <w:r>
        <w:rPr>
          <w:rFonts w:ascii="宋体" w:eastAsia="宋体" w:hAnsi="宋体" w:cs="宋体" w:hint="eastAsia"/>
          <w:color w:val="auto"/>
          <w:sz w:val="24"/>
        </w:rPr>
        <w:t>转债简称：海优转债</w:t>
      </w:r>
    </w:p>
    <w:p w14:paraId="008F7E1B" w14:textId="18431546" w:rsidR="00BE5F2C" w:rsidRPr="006B0E96" w:rsidRDefault="00BC6C82" w:rsidP="00871477">
      <w:pPr>
        <w:spacing w:after="0" w:line="276" w:lineRule="auto"/>
        <w:jc w:val="center"/>
        <w:rPr>
          <w:rFonts w:ascii="宋体" w:eastAsia="宋体" w:hAnsi="宋体" w:cs="宋体"/>
          <w:b/>
          <w:color w:val="auto"/>
          <w:sz w:val="32"/>
        </w:rPr>
      </w:pPr>
      <w:r w:rsidRPr="006B0E96">
        <w:rPr>
          <w:rFonts w:ascii="宋体" w:eastAsia="宋体" w:hAnsi="宋体" w:cs="宋体" w:hint="eastAsia"/>
          <w:b/>
          <w:color w:val="auto"/>
          <w:sz w:val="32"/>
        </w:rPr>
        <w:t>上海海优威新材料股份有限公司</w:t>
      </w:r>
    </w:p>
    <w:p w14:paraId="1BE576AD" w14:textId="77777777" w:rsidR="00BE6EB3" w:rsidRPr="006B0E96" w:rsidRDefault="00E0201F" w:rsidP="00871477">
      <w:pPr>
        <w:spacing w:after="0" w:line="276" w:lineRule="auto"/>
        <w:jc w:val="center"/>
        <w:rPr>
          <w:rFonts w:ascii="宋体" w:eastAsia="宋体" w:hAnsi="宋体" w:cs="宋体"/>
          <w:b/>
          <w:color w:val="auto"/>
          <w:sz w:val="32"/>
        </w:rPr>
      </w:pPr>
      <w:r w:rsidRPr="006B0E96">
        <w:rPr>
          <w:rFonts w:ascii="宋体" w:eastAsia="宋体" w:hAnsi="宋体" w:cs="宋体"/>
          <w:b/>
          <w:color w:val="auto"/>
          <w:sz w:val="32"/>
        </w:rPr>
        <w:t>投资者关系活动记录表</w:t>
      </w:r>
    </w:p>
    <w:p w14:paraId="4D068C69" w14:textId="13F269EB" w:rsidR="00A54DA5" w:rsidRPr="006B0E96" w:rsidRDefault="00323FF4" w:rsidP="00871477">
      <w:pPr>
        <w:spacing w:after="0" w:line="276" w:lineRule="auto"/>
        <w:ind w:left="1179"/>
        <w:jc w:val="right"/>
        <w:rPr>
          <w:rFonts w:ascii="宋体" w:eastAsia="宋体" w:hAnsi="宋体" w:cs="宋体"/>
          <w:color w:val="auto"/>
          <w:sz w:val="24"/>
        </w:rPr>
      </w:pPr>
      <w:r w:rsidRPr="006B0E96">
        <w:rPr>
          <w:rFonts w:ascii="宋体" w:eastAsia="宋体" w:hAnsi="宋体" w:cs="宋体"/>
          <w:color w:val="auto"/>
          <w:sz w:val="24"/>
        </w:rPr>
        <w:t xml:space="preserve">  </w:t>
      </w:r>
      <w:r w:rsidR="00C531B8" w:rsidRPr="006B0E96">
        <w:rPr>
          <w:rFonts w:ascii="宋体" w:eastAsia="宋体" w:hAnsi="宋体" w:cs="宋体"/>
          <w:color w:val="auto"/>
          <w:sz w:val="24"/>
        </w:rPr>
        <w:t xml:space="preserve"> </w:t>
      </w:r>
      <w:r w:rsidR="00E0201F" w:rsidRPr="006B0E96">
        <w:rPr>
          <w:rFonts w:ascii="宋体" w:eastAsia="宋体" w:hAnsi="宋体" w:cs="宋体"/>
          <w:color w:val="auto"/>
          <w:sz w:val="24"/>
        </w:rPr>
        <w:t>编号：</w:t>
      </w:r>
      <w:r w:rsidR="00FA6F5B" w:rsidRPr="006B0E96">
        <w:rPr>
          <w:rFonts w:ascii="宋体" w:eastAsia="宋体" w:hAnsi="宋体" w:cs="宋体"/>
          <w:color w:val="auto"/>
          <w:sz w:val="24"/>
        </w:rPr>
        <w:t>202</w:t>
      </w:r>
      <w:r w:rsidR="00D21220">
        <w:rPr>
          <w:rFonts w:ascii="宋体" w:eastAsia="宋体" w:hAnsi="宋体" w:cs="宋体"/>
          <w:color w:val="auto"/>
          <w:sz w:val="24"/>
        </w:rPr>
        <w:t>4</w:t>
      </w:r>
      <w:r w:rsidR="00F24309" w:rsidRPr="006B0E96">
        <w:rPr>
          <w:rFonts w:ascii="宋体" w:eastAsia="宋体" w:hAnsi="宋体" w:cs="宋体"/>
          <w:color w:val="auto"/>
          <w:sz w:val="24"/>
        </w:rPr>
        <w:t>-</w:t>
      </w:r>
      <w:r w:rsidR="00FA6F5B" w:rsidRPr="006B0E96">
        <w:rPr>
          <w:rFonts w:ascii="宋体" w:eastAsia="宋体" w:hAnsi="宋体" w:cs="宋体"/>
          <w:color w:val="auto"/>
          <w:sz w:val="24"/>
        </w:rPr>
        <w:t>00</w:t>
      </w:r>
      <w:r w:rsidR="006B708F">
        <w:rPr>
          <w:rFonts w:ascii="宋体" w:eastAsia="宋体" w:hAnsi="宋体" w:cs="宋体"/>
          <w:color w:val="auto"/>
          <w:sz w:val="24"/>
        </w:rPr>
        <w:t>6</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9D70C1" w:rsidRPr="006B0E96" w14:paraId="5AC7F51B" w14:textId="77777777" w:rsidTr="00D1598A">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6B0E96" w:rsidRDefault="00B33B67"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 xml:space="preserve">特定对象调研       </w:t>
            </w:r>
            <w:r w:rsidRPr="006B0E96">
              <w:rPr>
                <w:rFonts w:ascii="宋体" w:eastAsia="宋体" w:hAnsi="宋体" w:cs="宋体" w:hint="eastAsia"/>
                <w:color w:val="auto"/>
                <w:sz w:val="21"/>
                <w:szCs w:val="21"/>
              </w:rPr>
              <w:t xml:space="preserve"> </w:t>
            </w:r>
            <w:r w:rsidR="00BC6591"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分析师会议</w:t>
            </w:r>
          </w:p>
          <w:p w14:paraId="77A97F9F" w14:textId="590FEA7F"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□媒体采访            </w:t>
            </w:r>
            <w:r w:rsidR="0086069C" w:rsidRPr="006B0E96">
              <w:rPr>
                <w:rFonts w:ascii="宋体" w:eastAsia="宋体" w:hAnsi="宋体" w:cs="宋体"/>
                <w:color w:val="auto"/>
                <w:sz w:val="21"/>
                <w:szCs w:val="21"/>
              </w:rPr>
              <w:t>■</w:t>
            </w:r>
            <w:r w:rsidRPr="006B0E96">
              <w:rPr>
                <w:rFonts w:ascii="宋体" w:eastAsia="宋体" w:hAnsi="宋体" w:cs="宋体"/>
                <w:color w:val="auto"/>
                <w:sz w:val="21"/>
                <w:szCs w:val="21"/>
              </w:rPr>
              <w:t>业绩说明会</w:t>
            </w:r>
          </w:p>
          <w:p w14:paraId="3C91E116" w14:textId="41FA3B08"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□新闻发布会          </w:t>
            </w:r>
            <w:r w:rsidR="0059125F" w:rsidRPr="006B0E96">
              <w:rPr>
                <w:rFonts w:ascii="宋体" w:eastAsia="宋体" w:hAnsi="宋体" w:cs="宋体"/>
                <w:color w:val="auto"/>
                <w:sz w:val="21"/>
                <w:szCs w:val="21"/>
              </w:rPr>
              <w:t>□</w:t>
            </w:r>
            <w:r w:rsidRPr="006B0E96">
              <w:rPr>
                <w:rFonts w:ascii="宋体" w:eastAsia="宋体" w:hAnsi="宋体" w:cs="宋体"/>
                <w:color w:val="auto"/>
                <w:sz w:val="21"/>
                <w:szCs w:val="21"/>
              </w:rPr>
              <w:t>路演活动</w:t>
            </w:r>
          </w:p>
          <w:p w14:paraId="4374D93E" w14:textId="1F6D26DD" w:rsidR="00A54DA5" w:rsidRPr="006B0E96" w:rsidRDefault="0086069C"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3E367C" w:rsidRPr="006B0E96">
              <w:rPr>
                <w:rFonts w:ascii="宋体" w:eastAsia="宋体" w:hAnsi="宋体" w:cs="宋体"/>
                <w:color w:val="auto"/>
                <w:sz w:val="21"/>
                <w:szCs w:val="21"/>
              </w:rPr>
              <w:t>现场</w:t>
            </w:r>
            <w:r w:rsidR="003E367C" w:rsidRPr="006B0E96">
              <w:rPr>
                <w:rFonts w:ascii="宋体" w:eastAsia="宋体" w:hAnsi="宋体" w:cs="宋体" w:hint="eastAsia"/>
                <w:color w:val="auto"/>
                <w:sz w:val="21"/>
                <w:szCs w:val="21"/>
              </w:rPr>
              <w:t>会议</w:t>
            </w:r>
            <w:r w:rsidR="00E0201F" w:rsidRPr="006B0E96">
              <w:rPr>
                <w:rFonts w:ascii="宋体" w:eastAsia="宋体" w:hAnsi="宋体" w:cs="宋体"/>
                <w:color w:val="auto"/>
                <w:sz w:val="21"/>
                <w:szCs w:val="21"/>
              </w:rPr>
              <w:t xml:space="preserve">            </w:t>
            </w: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一对一沟通</w:t>
            </w:r>
          </w:p>
          <w:p w14:paraId="74BEE79A" w14:textId="2B2693A7" w:rsidR="00A54DA5" w:rsidRPr="006B0E96" w:rsidRDefault="003241FF" w:rsidP="005D666F">
            <w:pPr>
              <w:snapToGrid w:val="0"/>
              <w:spacing w:beforeLines="30" w:before="72" w:afterLines="30" w:after="72" w:line="276" w:lineRule="auto"/>
              <w:jc w:val="both"/>
              <w:rPr>
                <w:rFonts w:ascii="宋体" w:eastAsia="宋体" w:hAnsi="宋体"/>
                <w:color w:val="auto"/>
                <w:sz w:val="21"/>
                <w:szCs w:val="21"/>
                <w:u w:val="single"/>
              </w:rPr>
            </w:pPr>
            <w:r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 xml:space="preserve">电话会议            </w:t>
            </w:r>
            <w:r w:rsidR="00EF147B"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其他</w:t>
            </w:r>
          </w:p>
        </w:tc>
      </w:tr>
      <w:tr w:rsidR="009D70C1" w:rsidRPr="006B0E96" w14:paraId="51B691C1" w14:textId="77777777" w:rsidTr="00A37449">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参与单位</w:t>
            </w:r>
            <w:r w:rsidR="00844AC4" w:rsidRPr="006B0E96">
              <w:rPr>
                <w:rFonts w:ascii="宋体" w:eastAsia="宋体" w:hAnsi="宋体" w:cs="宋体" w:hint="eastAsia"/>
                <w:b/>
                <w:color w:val="auto"/>
                <w:sz w:val="21"/>
                <w:szCs w:val="21"/>
              </w:rPr>
              <w:t>名称</w:t>
            </w:r>
            <w:r w:rsidR="00595828" w:rsidRPr="006B0E96">
              <w:rPr>
                <w:rFonts w:ascii="宋体" w:eastAsia="宋体" w:hAnsi="宋体" w:cs="宋体" w:hint="eastAsia"/>
                <w:b/>
                <w:color w:val="auto"/>
                <w:sz w:val="21"/>
                <w:szCs w:val="21"/>
              </w:rPr>
              <w:t>及人员</w:t>
            </w:r>
            <w:r w:rsidR="007E3B38"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4CCC735D" w:rsidR="00C11D33" w:rsidRPr="006B0E96" w:rsidRDefault="00C83FB6" w:rsidP="00C83FB6">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长江证券、鹏华基金、中金公司、银河基金、</w:t>
            </w:r>
            <w:r w:rsidR="00E54C73">
              <w:rPr>
                <w:rFonts w:ascii="宋体" w:eastAsia="宋体" w:hAnsi="宋体" w:hint="eastAsia"/>
                <w:color w:val="auto"/>
                <w:sz w:val="21"/>
                <w:szCs w:val="21"/>
              </w:rPr>
              <w:t>华创证券、</w:t>
            </w:r>
            <w:r>
              <w:rPr>
                <w:rFonts w:ascii="宋体" w:eastAsia="宋体" w:hAnsi="宋体" w:hint="eastAsia"/>
                <w:color w:val="auto"/>
                <w:sz w:val="21"/>
                <w:szCs w:val="21"/>
              </w:rPr>
              <w:t>泰康资产、朱雀基金、国弘天下资本、</w:t>
            </w:r>
            <w:r w:rsidRPr="00C83FB6">
              <w:rPr>
                <w:rFonts w:ascii="宋体" w:eastAsia="宋体" w:hAnsi="宋体" w:hint="eastAsia"/>
                <w:color w:val="auto"/>
                <w:sz w:val="21"/>
                <w:szCs w:val="21"/>
              </w:rPr>
              <w:t>东吴证券</w:t>
            </w:r>
            <w:r>
              <w:rPr>
                <w:rFonts w:ascii="宋体" w:eastAsia="宋体" w:hAnsi="宋体" w:hint="eastAsia"/>
                <w:color w:val="auto"/>
                <w:sz w:val="21"/>
                <w:szCs w:val="21"/>
              </w:rPr>
              <w:t>、国信资管、嘉合基金、道翼投资、财通证券、昆仑资本、德邦证券、海通证券、民生证券、东兴基金、中国人保资产、中庚基金、华安财保资产、上银基金</w:t>
            </w:r>
            <w:r w:rsidR="00265901">
              <w:rPr>
                <w:rFonts w:ascii="宋体" w:eastAsia="宋体" w:hAnsi="宋体" w:hint="eastAsia"/>
                <w:color w:val="auto"/>
                <w:sz w:val="21"/>
                <w:szCs w:val="21"/>
              </w:rPr>
              <w:t>等投资者与研究机构</w:t>
            </w:r>
          </w:p>
        </w:tc>
      </w:tr>
      <w:tr w:rsidR="009D70C1" w:rsidRPr="006B0E96" w14:paraId="06D18C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5144F552" w:rsidR="00A54DA5" w:rsidRPr="006B0E96" w:rsidRDefault="00A37449" w:rsidP="00514A6C">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2024</w:t>
            </w:r>
            <w:r>
              <w:rPr>
                <w:rFonts w:ascii="宋体" w:eastAsia="宋体" w:hAnsi="宋体" w:hint="eastAsia"/>
                <w:color w:val="auto"/>
                <w:sz w:val="21"/>
                <w:szCs w:val="21"/>
              </w:rPr>
              <w:t>年</w:t>
            </w:r>
            <w:r w:rsidR="000C38D3">
              <w:rPr>
                <w:rFonts w:ascii="宋体" w:eastAsia="宋体" w:hAnsi="宋体"/>
                <w:color w:val="auto"/>
                <w:sz w:val="21"/>
                <w:szCs w:val="21"/>
              </w:rPr>
              <w:t>6</w:t>
            </w:r>
            <w:r>
              <w:rPr>
                <w:rFonts w:ascii="宋体" w:eastAsia="宋体" w:hAnsi="宋体" w:hint="eastAsia"/>
                <w:color w:val="auto"/>
                <w:sz w:val="21"/>
                <w:szCs w:val="21"/>
              </w:rPr>
              <w:t>月</w:t>
            </w:r>
            <w:r w:rsidR="000C38D3">
              <w:rPr>
                <w:rFonts w:ascii="宋体" w:eastAsia="宋体" w:hAnsi="宋体"/>
                <w:color w:val="auto"/>
                <w:sz w:val="21"/>
                <w:szCs w:val="21"/>
              </w:rPr>
              <w:t>1</w:t>
            </w:r>
            <w:r>
              <w:rPr>
                <w:rFonts w:ascii="宋体" w:eastAsia="宋体" w:hAnsi="宋体" w:hint="eastAsia"/>
                <w:color w:val="auto"/>
                <w:sz w:val="21"/>
                <w:szCs w:val="21"/>
              </w:rPr>
              <w:t>日</w:t>
            </w:r>
            <w:r w:rsidR="0086069C">
              <w:rPr>
                <w:rFonts w:ascii="宋体" w:eastAsia="宋体" w:hAnsi="宋体" w:hint="eastAsia"/>
                <w:color w:val="auto"/>
                <w:sz w:val="21"/>
                <w:szCs w:val="21"/>
              </w:rPr>
              <w:t>-</w:t>
            </w:r>
            <w:r w:rsidR="0086069C">
              <w:rPr>
                <w:rFonts w:ascii="宋体" w:eastAsia="宋体" w:hAnsi="宋体"/>
                <w:color w:val="auto"/>
                <w:sz w:val="21"/>
                <w:szCs w:val="21"/>
              </w:rPr>
              <w:t>2024年</w:t>
            </w:r>
            <w:r w:rsidR="000C38D3">
              <w:rPr>
                <w:rFonts w:ascii="宋体" w:eastAsia="宋体" w:hAnsi="宋体"/>
                <w:color w:val="auto"/>
                <w:sz w:val="21"/>
                <w:szCs w:val="21"/>
              </w:rPr>
              <w:t>6</w:t>
            </w:r>
            <w:r w:rsidR="0086069C">
              <w:rPr>
                <w:rFonts w:ascii="宋体" w:eastAsia="宋体" w:hAnsi="宋体" w:hint="eastAsia"/>
                <w:color w:val="auto"/>
                <w:sz w:val="21"/>
                <w:szCs w:val="21"/>
              </w:rPr>
              <w:t>月</w:t>
            </w:r>
            <w:r w:rsidR="000C38D3">
              <w:rPr>
                <w:rFonts w:ascii="宋体" w:eastAsia="宋体" w:hAnsi="宋体"/>
                <w:color w:val="auto"/>
                <w:sz w:val="21"/>
                <w:szCs w:val="21"/>
              </w:rPr>
              <w:t>28</w:t>
            </w:r>
            <w:r w:rsidR="0086069C">
              <w:rPr>
                <w:rFonts w:ascii="宋体" w:eastAsia="宋体" w:hAnsi="宋体"/>
                <w:color w:val="auto"/>
                <w:sz w:val="21"/>
                <w:szCs w:val="21"/>
              </w:rPr>
              <w:t>日</w:t>
            </w:r>
            <w:r w:rsidR="0086069C">
              <w:rPr>
                <w:rFonts w:ascii="宋体" w:eastAsia="宋体" w:hAnsi="宋体" w:hint="eastAsia"/>
                <w:color w:val="auto"/>
                <w:sz w:val="21"/>
                <w:szCs w:val="21"/>
              </w:rPr>
              <w:t xml:space="preserve"> </w:t>
            </w:r>
            <w:r w:rsidR="0086069C">
              <w:rPr>
                <w:rFonts w:ascii="宋体" w:eastAsia="宋体" w:hAnsi="宋体"/>
                <w:color w:val="auto"/>
                <w:sz w:val="21"/>
                <w:szCs w:val="21"/>
              </w:rPr>
              <w:t xml:space="preserve">      </w:t>
            </w:r>
          </w:p>
        </w:tc>
      </w:tr>
      <w:tr w:rsidR="009D70C1" w:rsidRPr="006B0E96" w14:paraId="5EBCB3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6E7FC6F6" w:rsidR="00836767" w:rsidRPr="006B0E96" w:rsidRDefault="0059125F" w:rsidP="000C38D3">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rPr>
              <w:t>电话会议</w:t>
            </w:r>
            <w:r w:rsidR="000C38D3">
              <w:rPr>
                <w:rFonts w:ascii="宋体" w:eastAsia="宋体" w:hAnsi="宋体" w:hint="eastAsia"/>
              </w:rPr>
              <w:t>、公</w:t>
            </w:r>
            <w:r w:rsidR="0086069C">
              <w:rPr>
                <w:rFonts w:ascii="宋体" w:eastAsia="宋体" w:hAnsi="宋体" w:hint="eastAsia"/>
              </w:rPr>
              <w:t>司办公室、策略会所在地</w:t>
            </w:r>
          </w:p>
        </w:tc>
      </w:tr>
      <w:tr w:rsidR="009D70C1" w:rsidRPr="006B0E96" w14:paraId="41CB7F50" w14:textId="77777777" w:rsidTr="00D1598A">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6B0E96" w:rsidRDefault="00A0500B"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hint="eastAsia"/>
                <w:b/>
                <w:color w:val="auto"/>
                <w:sz w:val="21"/>
                <w:szCs w:val="21"/>
              </w:rPr>
              <w:t>公司</w:t>
            </w:r>
            <w:r w:rsidR="00E0201F" w:rsidRPr="006B0E96">
              <w:rPr>
                <w:rFonts w:ascii="宋体" w:eastAsia="宋体" w:hAnsi="宋体" w:cs="宋体"/>
                <w:b/>
                <w:color w:val="auto"/>
                <w:sz w:val="21"/>
                <w:szCs w:val="21"/>
              </w:rPr>
              <w:t>接待人员</w:t>
            </w:r>
            <w:r w:rsidR="001C3066"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6B568162" w:rsidR="00C11D33" w:rsidRPr="006B0E96" w:rsidRDefault="00C11D33"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董事</w:t>
            </w:r>
            <w:r w:rsidR="00C56DCA">
              <w:rPr>
                <w:rFonts w:ascii="宋体" w:eastAsia="宋体" w:hAnsi="宋体" w:hint="eastAsia"/>
                <w:color w:val="auto"/>
                <w:sz w:val="21"/>
                <w:szCs w:val="21"/>
              </w:rPr>
              <w:t>长</w:t>
            </w:r>
            <w:r w:rsidRPr="006B0E96">
              <w:rPr>
                <w:rFonts w:ascii="宋体" w:eastAsia="宋体" w:hAnsi="宋体" w:hint="eastAsia"/>
                <w:color w:val="auto"/>
                <w:sz w:val="21"/>
                <w:szCs w:val="21"/>
              </w:rPr>
              <w:t>：李晓昱</w:t>
            </w:r>
            <w:r w:rsidR="00CE5A2B" w:rsidRPr="006B0E96">
              <w:rPr>
                <w:rFonts w:ascii="宋体" w:eastAsia="宋体" w:hAnsi="宋体" w:hint="eastAsia"/>
                <w:color w:val="auto"/>
                <w:sz w:val="21"/>
                <w:szCs w:val="21"/>
              </w:rPr>
              <w:t>、证券</w:t>
            </w:r>
            <w:r w:rsidR="007328A9">
              <w:rPr>
                <w:rFonts w:ascii="宋体" w:eastAsia="宋体" w:hAnsi="宋体" w:hint="eastAsia"/>
                <w:color w:val="auto"/>
                <w:sz w:val="21"/>
                <w:szCs w:val="21"/>
              </w:rPr>
              <w:t>事务</w:t>
            </w:r>
            <w:r w:rsidR="00CE5A2B" w:rsidRPr="006B0E96">
              <w:rPr>
                <w:rFonts w:ascii="宋体" w:eastAsia="宋体" w:hAnsi="宋体" w:hint="eastAsia"/>
                <w:color w:val="auto"/>
                <w:sz w:val="21"/>
                <w:szCs w:val="21"/>
              </w:rPr>
              <w:t>代表：姚红霞</w:t>
            </w:r>
          </w:p>
        </w:tc>
      </w:tr>
      <w:tr w:rsidR="00B15A90" w:rsidRPr="006B0E96" w14:paraId="175AB6A7" w14:textId="77777777" w:rsidTr="008F7A00">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3149F34B" w:rsidR="000A5F7F" w:rsidRPr="006B0E96" w:rsidRDefault="008F19F9" w:rsidP="005D666F">
            <w:pPr>
              <w:snapToGrid w:val="0"/>
              <w:spacing w:beforeLines="30" w:before="72" w:afterLines="30" w:after="72" w:line="276" w:lineRule="auto"/>
              <w:ind w:right="110"/>
              <w:jc w:val="both"/>
              <w:rPr>
                <w:rFonts w:ascii="宋体" w:eastAsia="宋体" w:hAnsi="宋体" w:cs="宋体"/>
                <w:b/>
                <w:color w:val="auto"/>
                <w:sz w:val="21"/>
                <w:szCs w:val="21"/>
              </w:rPr>
            </w:pPr>
            <w:r w:rsidRPr="006B0E96">
              <w:rPr>
                <w:rFonts w:ascii="宋体" w:eastAsia="宋体" w:hAnsi="宋体" w:cs="宋体"/>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14:paraId="3BBE54E6" w14:textId="0D18A313" w:rsidR="0086069C" w:rsidRPr="008F7A00" w:rsidRDefault="0086069C" w:rsidP="008F7A00">
            <w:pPr>
              <w:tabs>
                <w:tab w:val="left" w:pos="459"/>
              </w:tabs>
              <w:spacing w:after="0" w:line="276" w:lineRule="auto"/>
              <w:rPr>
                <w:rFonts w:ascii="宋体" w:eastAsia="宋体" w:hAnsi="宋体" w:cs="Calibri Light"/>
                <w:b/>
                <w:sz w:val="21"/>
                <w:szCs w:val="21"/>
              </w:rPr>
            </w:pPr>
          </w:p>
          <w:p w14:paraId="1C6F6F64" w14:textId="77777777" w:rsidR="008F7A00" w:rsidRPr="008F7A00" w:rsidRDefault="008F7A00" w:rsidP="008F7A00">
            <w:pPr>
              <w:pStyle w:val="af1"/>
              <w:spacing w:line="276" w:lineRule="auto"/>
              <w:jc w:val="left"/>
              <w:rPr>
                <w:rFonts w:ascii="宋体" w:hAnsi="宋体"/>
              </w:rPr>
            </w:pPr>
            <w:r w:rsidRPr="008F7A00">
              <w:rPr>
                <w:shd w:val="clear" w:color="auto" w:fill="FFFFFF"/>
              </w:rPr>
              <w:t>1.</w:t>
            </w:r>
            <w:r w:rsidRPr="008F7A00">
              <w:rPr>
                <w:shd w:val="clear" w:color="auto" w:fill="FFFFFF"/>
              </w:rPr>
              <w:tab/>
            </w:r>
            <w:r w:rsidRPr="008F7A00">
              <w:rPr>
                <w:rFonts w:ascii="宋体" w:hAnsi="宋体" w:hint="eastAsia"/>
              </w:rPr>
              <w:t>本次</w:t>
            </w:r>
            <w:r w:rsidRPr="008F7A00">
              <w:rPr>
                <w:rFonts w:ascii="宋体" w:hAnsi="宋体"/>
              </w:rPr>
              <w:t>SNEC</w:t>
            </w:r>
            <w:r w:rsidRPr="008F7A00">
              <w:rPr>
                <w:rFonts w:ascii="宋体" w:hAnsi="宋体" w:hint="eastAsia"/>
              </w:rPr>
              <w:t>展会公司主要推出了哪些新产品？</w:t>
            </w:r>
          </w:p>
          <w:p w14:paraId="7A11026D" w14:textId="1BF6D4D3" w:rsidR="008F7A00" w:rsidRPr="008F7A00" w:rsidRDefault="008F7A00" w:rsidP="008F7A00">
            <w:pPr>
              <w:pStyle w:val="af1"/>
              <w:spacing w:line="276" w:lineRule="auto"/>
              <w:jc w:val="left"/>
              <w:rPr>
                <w:rFonts w:ascii="宋体" w:hAnsi="宋体"/>
              </w:rPr>
            </w:pPr>
            <w:r w:rsidRPr="008F7A00">
              <w:rPr>
                <w:rFonts w:ascii="宋体" w:hAnsi="宋体" w:hint="eastAsia"/>
              </w:rPr>
              <w:t>答：公司展示了多款优秀组件封装产品和整体解决方案，充分展示了在光伏组件封装领域的领先技术优势和创新能力。</w:t>
            </w:r>
            <w:r>
              <w:rPr>
                <w:rFonts w:ascii="宋体" w:hAnsi="宋体" w:hint="eastAsia"/>
              </w:rPr>
              <w:t>其中如下新产品的技术更为突出。</w:t>
            </w:r>
          </w:p>
          <w:p w14:paraId="79970B27" w14:textId="472223BF" w:rsidR="008F7A00" w:rsidRPr="008F7A00" w:rsidRDefault="008F7A00" w:rsidP="008F7A00">
            <w:pPr>
              <w:pStyle w:val="af1"/>
              <w:spacing w:line="276" w:lineRule="auto"/>
              <w:jc w:val="left"/>
              <w:rPr>
                <w:rFonts w:ascii="宋体" w:hAnsi="宋体"/>
              </w:rPr>
            </w:pPr>
            <w:r w:rsidRPr="008F7A00">
              <w:rPr>
                <w:rFonts w:ascii="宋体" w:hAnsi="宋体" w:hint="eastAsia"/>
              </w:rPr>
              <w:t>（</w:t>
            </w:r>
            <w:r w:rsidRPr="008F7A00">
              <w:rPr>
                <w:rFonts w:ascii="宋体" w:hAnsi="宋体"/>
              </w:rPr>
              <w:t>1</w:t>
            </w:r>
            <w:r w:rsidRPr="008F7A00">
              <w:rPr>
                <w:rFonts w:ascii="宋体" w:hAnsi="宋体" w:hint="eastAsia"/>
              </w:rPr>
              <w:t>）专利配方转光膜：海优威</w:t>
            </w:r>
            <w:r w:rsidRPr="008F7A00">
              <w:rPr>
                <w:rFonts w:ascii="宋体" w:hAnsi="宋体"/>
              </w:rPr>
              <w:t>UV</w:t>
            </w:r>
            <w:r w:rsidRPr="008F7A00">
              <w:rPr>
                <w:rFonts w:ascii="宋体" w:hAnsi="宋体" w:hint="eastAsia"/>
              </w:rPr>
              <w:t>转光剂具有更高的抗迁移性、抗析出性，可在高温、超强紫外辐射等恶劣环</w:t>
            </w:r>
            <w:r>
              <w:rPr>
                <w:rFonts w:ascii="宋体" w:hAnsi="宋体" w:hint="eastAsia"/>
              </w:rPr>
              <w:t>境下，仍能保持卓越的转光效率。</w:t>
            </w:r>
            <w:r w:rsidRPr="008F7A00">
              <w:rPr>
                <w:rFonts w:ascii="宋体" w:hAnsi="宋体" w:hint="eastAsia"/>
              </w:rPr>
              <w:t>在温度</w:t>
            </w:r>
            <w:r w:rsidRPr="008F7A00">
              <w:rPr>
                <w:rFonts w:ascii="宋体" w:hAnsi="宋体"/>
              </w:rPr>
              <w:t>105</w:t>
            </w:r>
            <w:r w:rsidRPr="008F7A00">
              <w:rPr>
                <w:rFonts w:ascii="宋体" w:hAnsi="宋体" w:hint="eastAsia"/>
              </w:rPr>
              <w:t>℃、</w:t>
            </w:r>
            <w:r w:rsidRPr="008F7A00">
              <w:rPr>
                <w:rFonts w:ascii="宋体" w:hAnsi="宋体"/>
              </w:rPr>
              <w:t>96</w:t>
            </w:r>
            <w:r w:rsidRPr="008F7A00">
              <w:rPr>
                <w:rFonts w:ascii="宋体" w:hAnsi="宋体" w:hint="eastAsia"/>
              </w:rPr>
              <w:t>小时的测试条件下，海优威转光膜可完全无迁移，表现出较强的抗迁移性。同时，在灯管强度为</w:t>
            </w:r>
            <w:r w:rsidRPr="008F7A00">
              <w:rPr>
                <w:rFonts w:ascii="宋体" w:hAnsi="宋体"/>
              </w:rPr>
              <w:t>240W/m2</w:t>
            </w:r>
            <w:r w:rsidRPr="008F7A00">
              <w:rPr>
                <w:rFonts w:ascii="宋体" w:hAnsi="宋体" w:hint="eastAsia"/>
              </w:rPr>
              <w:t>的</w:t>
            </w:r>
            <w:r w:rsidRPr="008F7A00">
              <w:rPr>
                <w:rFonts w:ascii="宋体" w:hAnsi="宋体"/>
              </w:rPr>
              <w:t>UV</w:t>
            </w:r>
            <w:r w:rsidRPr="008F7A00">
              <w:rPr>
                <w:rFonts w:ascii="宋体" w:hAnsi="宋体" w:hint="eastAsia"/>
              </w:rPr>
              <w:t>测试实验中，海优威转光膜量子效率接近</w:t>
            </w:r>
            <w:r w:rsidRPr="008F7A00">
              <w:rPr>
                <w:rFonts w:ascii="宋体" w:hAnsi="宋体"/>
              </w:rPr>
              <w:t>57%</w:t>
            </w:r>
            <w:r w:rsidRPr="008F7A00">
              <w:rPr>
                <w:rFonts w:ascii="宋体" w:hAnsi="宋体" w:hint="eastAsia"/>
              </w:rPr>
              <w:t>，抗紫外能力卓越。此外，海优威</w:t>
            </w:r>
            <w:r w:rsidRPr="008F7A00">
              <w:rPr>
                <w:rFonts w:ascii="宋体" w:hAnsi="宋体"/>
              </w:rPr>
              <w:t>UV</w:t>
            </w:r>
            <w:r w:rsidRPr="008F7A00">
              <w:rPr>
                <w:rFonts w:ascii="宋体" w:hAnsi="宋体" w:hint="eastAsia"/>
              </w:rPr>
              <w:t>转光膜</w:t>
            </w:r>
            <w:r w:rsidRPr="008F7A00">
              <w:rPr>
                <w:rFonts w:ascii="宋体" w:hAnsi="宋体"/>
              </w:rPr>
              <w:t>290-380nm</w:t>
            </w:r>
            <w:r w:rsidRPr="008F7A00">
              <w:rPr>
                <w:rFonts w:ascii="宋体" w:hAnsi="宋体" w:hint="eastAsia"/>
              </w:rPr>
              <w:t>平均透光率为</w:t>
            </w:r>
            <w:r w:rsidRPr="008F7A00">
              <w:rPr>
                <w:rFonts w:ascii="宋体" w:hAnsi="宋体"/>
              </w:rPr>
              <w:t>17.69%</w:t>
            </w:r>
            <w:r w:rsidRPr="008F7A00">
              <w:rPr>
                <w:rFonts w:ascii="宋体" w:hAnsi="宋体" w:hint="eastAsia"/>
              </w:rPr>
              <w:t>，在湿热、紫外老化条件下具有良好的透光率。</w:t>
            </w:r>
          </w:p>
          <w:p w14:paraId="3293C53D" w14:textId="77777777" w:rsidR="008F7A00" w:rsidRPr="008F7A00" w:rsidRDefault="008F7A00" w:rsidP="008F7A00">
            <w:pPr>
              <w:pStyle w:val="af1"/>
              <w:spacing w:line="276" w:lineRule="auto"/>
              <w:jc w:val="left"/>
              <w:rPr>
                <w:rFonts w:ascii="宋体" w:hAnsi="宋体"/>
              </w:rPr>
            </w:pPr>
            <w:r w:rsidRPr="008F7A00">
              <w:rPr>
                <w:rFonts w:ascii="宋体" w:hAnsi="宋体" w:hint="eastAsia"/>
              </w:rPr>
              <w:t>（</w:t>
            </w:r>
            <w:r w:rsidRPr="008F7A00">
              <w:rPr>
                <w:rFonts w:ascii="宋体" w:hAnsi="宋体"/>
              </w:rPr>
              <w:t>2</w:t>
            </w:r>
            <w:r w:rsidRPr="008F7A00">
              <w:rPr>
                <w:rFonts w:ascii="宋体" w:hAnsi="宋体" w:hint="eastAsia"/>
              </w:rPr>
              <w:t>）</w:t>
            </w:r>
            <w:r w:rsidRPr="008F7A00">
              <w:rPr>
                <w:rFonts w:ascii="宋体" w:hAnsi="宋体"/>
              </w:rPr>
              <w:t>0BB</w:t>
            </w:r>
            <w:r w:rsidRPr="008F7A00">
              <w:rPr>
                <w:rFonts w:ascii="宋体" w:hAnsi="宋体" w:hint="eastAsia"/>
              </w:rPr>
              <w:t>技术互联覆膜：海优威</w:t>
            </w:r>
            <w:r w:rsidRPr="008F7A00">
              <w:rPr>
                <w:rFonts w:ascii="宋体" w:hAnsi="宋体"/>
              </w:rPr>
              <w:t>0BB</w:t>
            </w:r>
            <w:r w:rsidRPr="008F7A00">
              <w:rPr>
                <w:rFonts w:ascii="宋体" w:hAnsi="宋体" w:hint="eastAsia"/>
              </w:rPr>
              <w:t>膜具有高粘性、低流动性、抗热变力等多项优异性能，可以与焊带、电池之间形成有效结合，且在金属化结合时，可避免焊带移位，无绝缘点；高低温无脱焊</w:t>
            </w:r>
            <w:r w:rsidRPr="008F7A00">
              <w:rPr>
                <w:rFonts w:ascii="宋体" w:hAnsi="宋体"/>
              </w:rPr>
              <w:t>EL</w:t>
            </w:r>
            <w:r w:rsidRPr="008F7A00">
              <w:rPr>
                <w:rFonts w:ascii="宋体" w:hAnsi="宋体" w:hint="eastAsia"/>
              </w:rPr>
              <w:t>无阴影、热斑下无气泡分层。同时适配度高，可适应</w:t>
            </w:r>
            <w:proofErr w:type="spellStart"/>
            <w:r w:rsidRPr="008F7A00">
              <w:rPr>
                <w:rFonts w:ascii="宋体" w:hAnsi="宋体"/>
              </w:rPr>
              <w:t>TOPCon</w:t>
            </w:r>
            <w:proofErr w:type="spellEnd"/>
            <w:r w:rsidRPr="008F7A00">
              <w:rPr>
                <w:rFonts w:ascii="宋体" w:hAnsi="宋体" w:hint="eastAsia"/>
              </w:rPr>
              <w:t>、</w:t>
            </w:r>
            <w:r w:rsidRPr="008F7A00">
              <w:rPr>
                <w:rFonts w:ascii="宋体" w:hAnsi="宋体"/>
              </w:rPr>
              <w:t>HJT</w:t>
            </w:r>
            <w:r w:rsidRPr="008F7A00">
              <w:rPr>
                <w:rFonts w:ascii="宋体" w:hAnsi="宋体" w:hint="eastAsia"/>
              </w:rPr>
              <w:t>、</w:t>
            </w:r>
            <w:r w:rsidRPr="008F7A00">
              <w:rPr>
                <w:rFonts w:ascii="宋体" w:hAnsi="宋体"/>
              </w:rPr>
              <w:t>BC</w:t>
            </w:r>
            <w:r w:rsidRPr="008F7A00">
              <w:rPr>
                <w:rFonts w:ascii="宋体" w:hAnsi="宋体" w:hint="eastAsia"/>
              </w:rPr>
              <w:t>等电池的</w:t>
            </w:r>
            <w:r w:rsidRPr="008F7A00">
              <w:rPr>
                <w:rFonts w:ascii="宋体" w:hAnsi="宋体"/>
              </w:rPr>
              <w:t>0BB</w:t>
            </w:r>
            <w:r w:rsidRPr="008F7A00">
              <w:rPr>
                <w:rFonts w:ascii="宋体" w:hAnsi="宋体" w:hint="eastAsia"/>
              </w:rPr>
              <w:t>无主栅技术。</w:t>
            </w:r>
          </w:p>
          <w:p w14:paraId="6A02888E" w14:textId="77777777" w:rsidR="008F7A00" w:rsidRPr="008F7A00" w:rsidRDefault="008F7A00" w:rsidP="008F7A00">
            <w:pPr>
              <w:pStyle w:val="af1"/>
              <w:spacing w:line="276" w:lineRule="auto"/>
              <w:jc w:val="left"/>
              <w:rPr>
                <w:rFonts w:ascii="宋体" w:hAnsi="宋体"/>
              </w:rPr>
            </w:pPr>
            <w:r w:rsidRPr="008F7A00">
              <w:rPr>
                <w:rFonts w:ascii="宋体" w:hAnsi="宋体" w:hint="eastAsia"/>
              </w:rPr>
              <w:t>（</w:t>
            </w:r>
            <w:r w:rsidRPr="008F7A00">
              <w:rPr>
                <w:rFonts w:ascii="宋体" w:hAnsi="宋体"/>
              </w:rPr>
              <w:t>3</w:t>
            </w:r>
            <w:r w:rsidRPr="008F7A00">
              <w:rPr>
                <w:rFonts w:ascii="宋体" w:hAnsi="宋体" w:hint="eastAsia"/>
              </w:rPr>
              <w:t>）双玻白</w:t>
            </w:r>
            <w:r w:rsidRPr="008F7A00">
              <w:rPr>
                <w:rFonts w:ascii="宋体" w:hAnsi="宋体"/>
              </w:rPr>
              <w:t>EVA</w:t>
            </w:r>
            <w:r w:rsidRPr="008F7A00">
              <w:rPr>
                <w:rFonts w:ascii="宋体" w:hAnsi="宋体" w:hint="eastAsia"/>
              </w:rPr>
              <w:t>：通过提高漫反射强度大幅提升组件功率，具有更高的粘结性，可适应不同品类玻璃，采用预交联工艺，可达到</w:t>
            </w:r>
            <w:r w:rsidRPr="008F7A00">
              <w:rPr>
                <w:rFonts w:ascii="宋体" w:hAnsi="宋体"/>
              </w:rPr>
              <w:t>100%</w:t>
            </w:r>
            <w:r w:rsidRPr="008F7A00">
              <w:rPr>
                <w:rFonts w:ascii="宋体" w:hAnsi="宋体" w:hint="eastAsia"/>
              </w:rPr>
              <w:t>层压良率。</w:t>
            </w:r>
          </w:p>
          <w:p w14:paraId="7E3D8FCA" w14:textId="77777777" w:rsidR="008F7A00" w:rsidRPr="008F7A00" w:rsidRDefault="008F7A00" w:rsidP="008F7A00">
            <w:pPr>
              <w:pStyle w:val="af1"/>
              <w:spacing w:line="276" w:lineRule="auto"/>
              <w:jc w:val="left"/>
              <w:rPr>
                <w:rFonts w:ascii="宋体" w:hAnsi="宋体"/>
              </w:rPr>
            </w:pPr>
          </w:p>
          <w:p w14:paraId="1AC24148" w14:textId="73DB2E0E" w:rsidR="008F7A00" w:rsidRPr="008F7A00" w:rsidRDefault="008F7A00" w:rsidP="008F7A00">
            <w:pPr>
              <w:pStyle w:val="af1"/>
              <w:spacing w:line="276" w:lineRule="auto"/>
              <w:jc w:val="left"/>
              <w:rPr>
                <w:rFonts w:ascii="宋体" w:hAnsi="宋体"/>
              </w:rPr>
            </w:pPr>
            <w:r w:rsidRPr="008F7A00">
              <w:rPr>
                <w:rFonts w:ascii="宋体" w:hAnsi="宋体"/>
              </w:rPr>
              <w:t>2.</w:t>
            </w:r>
            <w:r w:rsidRPr="008F7A00">
              <w:rPr>
                <w:rFonts w:ascii="宋体" w:hAnsi="宋体"/>
              </w:rPr>
              <w:tab/>
            </w:r>
            <w:r>
              <w:rPr>
                <w:rFonts w:ascii="宋体" w:hAnsi="宋体" w:hint="eastAsia"/>
              </w:rPr>
              <w:t>近期公司可转债价格出现大幅</w:t>
            </w:r>
            <w:r w:rsidRPr="008F7A00">
              <w:rPr>
                <w:rFonts w:ascii="宋体" w:hAnsi="宋体" w:hint="eastAsia"/>
              </w:rPr>
              <w:t>波动，公司资金</w:t>
            </w:r>
            <w:r w:rsidR="00AD4DDD">
              <w:rPr>
                <w:rFonts w:ascii="宋体" w:hAnsi="宋体" w:hint="eastAsia"/>
              </w:rPr>
              <w:t>流动性</w:t>
            </w:r>
            <w:r w:rsidRPr="008F7A00">
              <w:rPr>
                <w:rFonts w:ascii="宋体" w:hAnsi="宋体" w:hint="eastAsia"/>
              </w:rPr>
              <w:t>是否有风险？</w:t>
            </w:r>
          </w:p>
          <w:p w14:paraId="294F153D" w14:textId="1816EC49" w:rsidR="008F7A00" w:rsidRPr="008F7A00" w:rsidRDefault="008F7A00" w:rsidP="008F7A00">
            <w:pPr>
              <w:pStyle w:val="af1"/>
              <w:spacing w:line="276" w:lineRule="auto"/>
              <w:jc w:val="left"/>
              <w:rPr>
                <w:rFonts w:ascii="宋体" w:hAnsi="宋体"/>
              </w:rPr>
            </w:pPr>
            <w:r w:rsidRPr="008F7A00">
              <w:rPr>
                <w:rFonts w:ascii="宋体" w:hAnsi="宋体" w:hint="eastAsia"/>
              </w:rPr>
              <w:t>答：可转债价格受到环境、市场、企业情况等多重因素影响。</w:t>
            </w:r>
            <w:r>
              <w:rPr>
                <w:rFonts w:ascii="宋体" w:hAnsi="宋体" w:hint="eastAsia"/>
              </w:rPr>
              <w:t>公司资金情况如下：</w:t>
            </w:r>
          </w:p>
          <w:p w14:paraId="59EE93D5" w14:textId="47576798" w:rsidR="008F7A00" w:rsidRPr="008F7A00" w:rsidRDefault="008F7A00" w:rsidP="008F7A00">
            <w:pPr>
              <w:pStyle w:val="af1"/>
              <w:spacing w:line="276" w:lineRule="auto"/>
              <w:jc w:val="left"/>
              <w:rPr>
                <w:rFonts w:ascii="宋体" w:hAnsi="宋体"/>
              </w:rPr>
            </w:pPr>
            <w:r w:rsidRPr="008F7A00">
              <w:rPr>
                <w:rFonts w:ascii="宋体" w:hAnsi="宋体" w:hint="eastAsia"/>
              </w:rPr>
              <w:t>（</w:t>
            </w:r>
            <w:r w:rsidRPr="008F7A00">
              <w:rPr>
                <w:rFonts w:ascii="宋体" w:hAnsi="宋体"/>
              </w:rPr>
              <w:t>1</w:t>
            </w:r>
            <w:r>
              <w:rPr>
                <w:rFonts w:ascii="宋体" w:hAnsi="宋体" w:hint="eastAsia"/>
              </w:rPr>
              <w:t>）公司</w:t>
            </w:r>
            <w:r w:rsidRPr="008F7A00">
              <w:rPr>
                <w:rFonts w:ascii="宋体" w:hAnsi="宋体"/>
              </w:rPr>
              <w:t>2024</w:t>
            </w:r>
            <w:r w:rsidRPr="008F7A00">
              <w:rPr>
                <w:rFonts w:ascii="宋体" w:hAnsi="宋体" w:hint="eastAsia"/>
              </w:rPr>
              <w:t>年</w:t>
            </w:r>
            <w:r w:rsidRPr="008F7A00">
              <w:rPr>
                <w:rFonts w:ascii="宋体" w:hAnsi="宋体"/>
              </w:rPr>
              <w:t>3</w:t>
            </w:r>
            <w:r w:rsidRPr="008F7A00">
              <w:rPr>
                <w:rFonts w:ascii="宋体" w:hAnsi="宋体" w:hint="eastAsia"/>
              </w:rPr>
              <w:t>月末货币资金余额为</w:t>
            </w:r>
            <w:r w:rsidRPr="008F7A00">
              <w:rPr>
                <w:rFonts w:ascii="宋体" w:hAnsi="宋体"/>
              </w:rPr>
              <w:t>3.75</w:t>
            </w:r>
            <w:r w:rsidRPr="008F7A00">
              <w:rPr>
                <w:rFonts w:ascii="宋体" w:hAnsi="宋体" w:hint="eastAsia"/>
              </w:rPr>
              <w:t>亿元，银行结构性存款为</w:t>
            </w:r>
            <w:r w:rsidRPr="008F7A00">
              <w:rPr>
                <w:rFonts w:ascii="宋体" w:hAnsi="宋体"/>
              </w:rPr>
              <w:t>1</w:t>
            </w:r>
            <w:r w:rsidRPr="008F7A00">
              <w:rPr>
                <w:rFonts w:ascii="宋体" w:hAnsi="宋体" w:hint="eastAsia"/>
              </w:rPr>
              <w:t>亿元</w:t>
            </w:r>
            <w:r>
              <w:rPr>
                <w:rFonts w:ascii="宋体" w:hAnsi="宋体" w:hint="eastAsia"/>
              </w:rPr>
              <w:t>，加上</w:t>
            </w:r>
            <w:r w:rsidR="00AD4DDD">
              <w:rPr>
                <w:rFonts w:ascii="宋体" w:hAnsi="宋体" w:hint="eastAsia"/>
              </w:rPr>
              <w:lastRenderedPageBreak/>
              <w:t>在手各类可变现票据</w:t>
            </w:r>
            <w:r w:rsidRPr="008F7A00">
              <w:rPr>
                <w:rFonts w:ascii="宋体" w:hAnsi="宋体"/>
              </w:rPr>
              <w:t>8</w:t>
            </w:r>
            <w:r w:rsidRPr="008F7A00">
              <w:rPr>
                <w:rFonts w:ascii="宋体" w:hAnsi="宋体" w:hint="eastAsia"/>
              </w:rPr>
              <w:t>亿元以上，公司</w:t>
            </w:r>
            <w:r w:rsidR="00AD4DDD">
              <w:rPr>
                <w:rFonts w:ascii="宋体" w:hAnsi="宋体" w:hint="eastAsia"/>
              </w:rPr>
              <w:t>在手</w:t>
            </w:r>
            <w:r w:rsidRPr="008F7A00">
              <w:rPr>
                <w:rFonts w:ascii="宋体" w:hAnsi="宋体" w:hint="eastAsia"/>
              </w:rPr>
              <w:t>高流动性资金超过</w:t>
            </w:r>
            <w:r w:rsidRPr="008F7A00">
              <w:rPr>
                <w:rFonts w:ascii="宋体" w:hAnsi="宋体"/>
              </w:rPr>
              <w:t>10</w:t>
            </w:r>
            <w:r w:rsidRPr="008F7A00">
              <w:rPr>
                <w:rFonts w:ascii="宋体" w:hAnsi="宋体" w:hint="eastAsia"/>
              </w:rPr>
              <w:t>亿元，可满足公司生产运营等各类需要。</w:t>
            </w:r>
          </w:p>
          <w:p w14:paraId="7A0F32CF" w14:textId="77777777" w:rsidR="00B552B1" w:rsidRDefault="008F7A00" w:rsidP="00B552B1">
            <w:pPr>
              <w:pStyle w:val="af1"/>
              <w:spacing w:line="276" w:lineRule="auto"/>
              <w:jc w:val="left"/>
              <w:rPr>
                <w:rFonts w:ascii="宋体" w:hAnsi="宋体"/>
              </w:rPr>
            </w:pPr>
            <w:r w:rsidRPr="008F7A00">
              <w:rPr>
                <w:rFonts w:ascii="宋体" w:hAnsi="宋体" w:hint="eastAsia"/>
              </w:rPr>
              <w:t>（</w:t>
            </w:r>
            <w:r w:rsidRPr="008F7A00">
              <w:rPr>
                <w:rFonts w:ascii="宋体" w:hAnsi="宋体"/>
              </w:rPr>
              <w:t>2</w:t>
            </w:r>
            <w:r w:rsidRPr="008F7A00">
              <w:rPr>
                <w:rFonts w:ascii="宋体" w:hAnsi="宋体" w:hint="eastAsia"/>
              </w:rPr>
              <w:t>）经营性现金流：胶膜行业</w:t>
            </w:r>
            <w:r w:rsidR="00AD4DDD">
              <w:rPr>
                <w:rFonts w:ascii="宋体" w:hAnsi="宋体" w:hint="eastAsia"/>
              </w:rPr>
              <w:t>的</w:t>
            </w:r>
            <w:r w:rsidRPr="008F7A00">
              <w:rPr>
                <w:rFonts w:ascii="宋体" w:hAnsi="宋体" w:hint="eastAsia"/>
              </w:rPr>
              <w:t>收款模式惯例为</w:t>
            </w:r>
            <w:r w:rsidR="00AD4DDD">
              <w:rPr>
                <w:rFonts w:ascii="宋体" w:hAnsi="宋体" w:hint="eastAsia"/>
              </w:rPr>
              <w:t>3</w:t>
            </w:r>
            <w:r w:rsidR="00AD4DDD">
              <w:rPr>
                <w:rFonts w:ascii="宋体" w:hAnsi="宋体"/>
              </w:rPr>
              <w:t>-6个月</w:t>
            </w:r>
            <w:r w:rsidRPr="008F7A00">
              <w:rPr>
                <w:rFonts w:ascii="宋体" w:hAnsi="宋体" w:hint="eastAsia"/>
              </w:rPr>
              <w:t>票据，</w:t>
            </w:r>
            <w:r w:rsidR="00AD4DDD">
              <w:rPr>
                <w:rFonts w:ascii="宋体" w:hAnsi="宋体" w:hint="eastAsia"/>
              </w:rPr>
              <w:t>通过票据贴现获得货币资金以现金购买原料或劳务开支等是常规操作。但</w:t>
            </w:r>
            <w:r w:rsidRPr="008F7A00">
              <w:rPr>
                <w:rFonts w:ascii="宋体" w:hAnsi="宋体" w:hint="eastAsia"/>
              </w:rPr>
              <w:t>按照</w:t>
            </w:r>
            <w:r w:rsidR="00AD4DDD">
              <w:rPr>
                <w:rFonts w:ascii="宋体" w:hAnsi="宋体" w:hint="eastAsia"/>
              </w:rPr>
              <w:t>严格的</w:t>
            </w:r>
            <w:r w:rsidRPr="008F7A00">
              <w:rPr>
                <w:rFonts w:ascii="宋体" w:hAnsi="宋体" w:hint="eastAsia"/>
              </w:rPr>
              <w:t>会计政策，除部分</w:t>
            </w:r>
            <w:r w:rsidR="00AD4DDD">
              <w:rPr>
                <w:rFonts w:ascii="宋体" w:hAnsi="宋体" w:hint="eastAsia"/>
              </w:rPr>
              <w:t>一类</w:t>
            </w:r>
            <w:r w:rsidRPr="008F7A00">
              <w:rPr>
                <w:rFonts w:ascii="宋体" w:hAnsi="宋体" w:hint="eastAsia"/>
              </w:rPr>
              <w:t>银行票据贴现</w:t>
            </w:r>
            <w:r w:rsidR="00AD4DDD">
              <w:rPr>
                <w:rFonts w:ascii="宋体" w:hAnsi="宋体" w:hint="eastAsia"/>
              </w:rPr>
              <w:t>的金额</w:t>
            </w:r>
            <w:r w:rsidRPr="008F7A00">
              <w:rPr>
                <w:rFonts w:ascii="宋体" w:hAnsi="宋体" w:hint="eastAsia"/>
              </w:rPr>
              <w:t>可计入经营性现金流外，其他贴现</w:t>
            </w:r>
            <w:r w:rsidR="00AD4DDD">
              <w:rPr>
                <w:rFonts w:ascii="宋体" w:hAnsi="宋体" w:hint="eastAsia"/>
              </w:rPr>
              <w:t>金额</w:t>
            </w:r>
            <w:r w:rsidRPr="008F7A00">
              <w:rPr>
                <w:rFonts w:ascii="宋体" w:hAnsi="宋体" w:hint="eastAsia"/>
              </w:rPr>
              <w:t>只能计入筹资性现金流，</w:t>
            </w:r>
            <w:r w:rsidR="00AD4DDD">
              <w:rPr>
                <w:rFonts w:ascii="宋体" w:hAnsi="宋体" w:hint="eastAsia"/>
              </w:rPr>
              <w:t>如上因素使得公司财务报表中呈现经营性现金流出现较大的负值，但同时其他筹资性现金流呈现较大的正值。</w:t>
            </w:r>
            <w:r w:rsidRPr="008F7A00">
              <w:rPr>
                <w:rFonts w:ascii="宋体" w:hAnsi="宋体" w:hint="eastAsia"/>
              </w:rPr>
              <w:t>但</w:t>
            </w:r>
            <w:r w:rsidR="00AD4DDD">
              <w:rPr>
                <w:rFonts w:ascii="宋体" w:hAnsi="宋体" w:hint="eastAsia"/>
              </w:rPr>
              <w:t>从业务实质出发，票据贴现的资金也是经营性资金，</w:t>
            </w:r>
            <w:r w:rsidRPr="008F7A00">
              <w:rPr>
                <w:rFonts w:ascii="宋体" w:hAnsi="宋体"/>
              </w:rPr>
              <w:t>24</w:t>
            </w:r>
            <w:r w:rsidRPr="008F7A00">
              <w:rPr>
                <w:rFonts w:ascii="宋体" w:hAnsi="宋体" w:hint="eastAsia"/>
              </w:rPr>
              <w:t>年第一季度公司财报中的经营性现金流净额为</w:t>
            </w:r>
            <w:r w:rsidRPr="008F7A00">
              <w:rPr>
                <w:rFonts w:ascii="宋体" w:hAnsi="宋体"/>
              </w:rPr>
              <w:t>-2.81</w:t>
            </w:r>
            <w:r w:rsidRPr="008F7A00">
              <w:rPr>
                <w:rFonts w:ascii="宋体" w:hAnsi="宋体" w:hint="eastAsia"/>
              </w:rPr>
              <w:t>亿元，</w:t>
            </w:r>
            <w:r w:rsidR="00AD4DDD">
              <w:rPr>
                <w:rFonts w:ascii="宋体" w:hAnsi="宋体" w:hint="eastAsia"/>
              </w:rPr>
              <w:t>如果</w:t>
            </w:r>
            <w:r w:rsidRPr="008F7A00">
              <w:rPr>
                <w:rFonts w:ascii="宋体" w:hAnsi="宋体" w:hint="eastAsia"/>
              </w:rPr>
              <w:t>将计入筹资性现金流入的票据贴现金额</w:t>
            </w:r>
            <w:r w:rsidRPr="008F7A00">
              <w:rPr>
                <w:rFonts w:ascii="宋体" w:hAnsi="宋体"/>
              </w:rPr>
              <w:t>4.67</w:t>
            </w:r>
            <w:r w:rsidRPr="008F7A00">
              <w:rPr>
                <w:rFonts w:ascii="宋体" w:hAnsi="宋体" w:hint="eastAsia"/>
              </w:rPr>
              <w:t>亿元还原至经营性现金流后，经营性现金流净额为</w:t>
            </w:r>
            <w:r w:rsidRPr="008F7A00">
              <w:rPr>
                <w:rFonts w:ascii="宋体" w:hAnsi="宋体"/>
              </w:rPr>
              <w:t>1.86</w:t>
            </w:r>
            <w:r w:rsidRPr="008F7A00">
              <w:rPr>
                <w:rFonts w:ascii="宋体" w:hAnsi="宋体" w:hint="eastAsia"/>
              </w:rPr>
              <w:t>亿元</w:t>
            </w:r>
            <w:r w:rsidR="00AD4DDD">
              <w:rPr>
                <w:rFonts w:ascii="宋体" w:hAnsi="宋体" w:hint="eastAsia"/>
              </w:rPr>
              <w:t>，为正值</w:t>
            </w:r>
            <w:r w:rsidRPr="008F7A00">
              <w:rPr>
                <w:rFonts w:ascii="宋体" w:hAnsi="宋体" w:hint="eastAsia"/>
              </w:rPr>
              <w:t>。另外，</w:t>
            </w:r>
            <w:r w:rsidRPr="008F7A00">
              <w:rPr>
                <w:rFonts w:ascii="宋体" w:hAnsi="宋体"/>
              </w:rPr>
              <w:t>2023</w:t>
            </w:r>
            <w:r w:rsidRPr="008F7A00">
              <w:rPr>
                <w:rFonts w:ascii="宋体" w:hAnsi="宋体" w:hint="eastAsia"/>
              </w:rPr>
              <w:t>年全年经营性现金流还原后净额为</w:t>
            </w:r>
            <w:r w:rsidRPr="008F7A00">
              <w:rPr>
                <w:rFonts w:ascii="宋体" w:hAnsi="宋体"/>
              </w:rPr>
              <w:t>4.81</w:t>
            </w:r>
            <w:r w:rsidRPr="008F7A00">
              <w:rPr>
                <w:rFonts w:ascii="宋体" w:hAnsi="宋体" w:hint="eastAsia"/>
              </w:rPr>
              <w:t>亿元，亦为正。</w:t>
            </w:r>
          </w:p>
          <w:p w14:paraId="5E6B5744" w14:textId="61174234" w:rsidR="00B552B1" w:rsidRDefault="00B552B1" w:rsidP="00B552B1">
            <w:pPr>
              <w:pStyle w:val="af1"/>
              <w:spacing w:line="276" w:lineRule="auto"/>
              <w:jc w:val="left"/>
              <w:rPr>
                <w:rFonts w:ascii="宋体" w:hAnsi="宋体"/>
              </w:rPr>
            </w:pPr>
            <w:r>
              <w:rPr>
                <w:rFonts w:ascii="宋体" w:hAnsi="宋体"/>
              </w:rPr>
              <w:t>（</w:t>
            </w:r>
            <w:r>
              <w:rPr>
                <w:rFonts w:ascii="宋体" w:hAnsi="宋体" w:hint="eastAsia"/>
              </w:rPr>
              <w:t>3）</w:t>
            </w:r>
            <w:r w:rsidR="008F7A00" w:rsidRPr="008F7A00">
              <w:rPr>
                <w:rFonts w:ascii="宋体" w:hAnsi="宋体" w:hint="eastAsia"/>
              </w:rPr>
              <w:t>公司从</w:t>
            </w:r>
            <w:r w:rsidR="008F7A00" w:rsidRPr="008F7A00">
              <w:rPr>
                <w:rFonts w:ascii="宋体" w:hAnsi="宋体"/>
              </w:rPr>
              <w:t>2023</w:t>
            </w:r>
            <w:r w:rsidR="008F7A00" w:rsidRPr="008F7A00">
              <w:rPr>
                <w:rFonts w:ascii="宋体" w:hAnsi="宋体" w:hint="eastAsia"/>
              </w:rPr>
              <w:t>年下半年主动进行规模控制，通过库存管理、优化应收账款、提升</w:t>
            </w:r>
            <w:r>
              <w:rPr>
                <w:rFonts w:ascii="宋体" w:hAnsi="宋体" w:hint="eastAsia"/>
              </w:rPr>
              <w:t>运营效率等方法，增加公司流动资金储备，</w:t>
            </w:r>
            <w:r w:rsidR="00CE4180">
              <w:rPr>
                <w:rFonts w:ascii="宋体" w:hAnsi="宋体" w:hint="eastAsia"/>
              </w:rPr>
              <w:t>降低运营资金占用，压降贷款规模和杠杆率，</w:t>
            </w:r>
            <w:r>
              <w:rPr>
                <w:rFonts w:ascii="宋体" w:hAnsi="宋体" w:hint="eastAsia"/>
              </w:rPr>
              <w:t>经营性现金流情况明显改善。</w:t>
            </w:r>
          </w:p>
          <w:p w14:paraId="625C92FE" w14:textId="24319B49" w:rsidR="00B552B1" w:rsidRDefault="00B552B1" w:rsidP="00B552B1">
            <w:pPr>
              <w:pStyle w:val="af1"/>
              <w:spacing w:line="276" w:lineRule="auto"/>
              <w:jc w:val="left"/>
              <w:rPr>
                <w:rFonts w:ascii="宋体" w:hAnsi="宋体"/>
              </w:rPr>
            </w:pPr>
            <w:r>
              <w:rPr>
                <w:rFonts w:ascii="宋体" w:hAnsi="宋体"/>
              </w:rPr>
              <w:t>（</w:t>
            </w:r>
            <w:r>
              <w:rPr>
                <w:rFonts w:ascii="宋体" w:hAnsi="宋体" w:hint="eastAsia"/>
              </w:rPr>
              <w:t>4）公司与银行长期保持良好合作，截止5月底尚未使用的银行授信额度超过3</w:t>
            </w:r>
            <w:r>
              <w:rPr>
                <w:rFonts w:ascii="宋体" w:hAnsi="宋体"/>
              </w:rPr>
              <w:t>5亿元，银行授信额度充足，可应对突发的资金现金需求。</w:t>
            </w:r>
          </w:p>
          <w:p w14:paraId="0F96C22B" w14:textId="1480074C" w:rsidR="008F7A00" w:rsidRPr="008F7A00" w:rsidRDefault="00B552B1" w:rsidP="00B552B1">
            <w:pPr>
              <w:pStyle w:val="af1"/>
              <w:spacing w:line="276" w:lineRule="auto"/>
              <w:ind w:firstLineChars="200" w:firstLine="420"/>
              <w:jc w:val="left"/>
              <w:rPr>
                <w:rFonts w:ascii="宋体" w:hAnsi="宋体"/>
              </w:rPr>
            </w:pPr>
            <w:r>
              <w:rPr>
                <w:rFonts w:ascii="宋体" w:hAnsi="宋体" w:hint="eastAsia"/>
              </w:rPr>
              <w:t>目前公司经营性现金流正常，可充分</w:t>
            </w:r>
            <w:r w:rsidRPr="008F7A00">
              <w:rPr>
                <w:rFonts w:ascii="宋体" w:hAnsi="宋体" w:hint="eastAsia"/>
              </w:rPr>
              <w:t>满足日常经营需要</w:t>
            </w:r>
            <w:r>
              <w:rPr>
                <w:rFonts w:ascii="宋体" w:hAnsi="宋体" w:hint="eastAsia"/>
              </w:rPr>
              <w:t>，流动性风险已</w:t>
            </w:r>
            <w:r w:rsidRPr="008F7A00">
              <w:rPr>
                <w:rFonts w:ascii="宋体" w:hAnsi="宋体" w:hint="eastAsia"/>
              </w:rPr>
              <w:t>有效缓解。</w:t>
            </w:r>
          </w:p>
          <w:p w14:paraId="25A3A864" w14:textId="77777777" w:rsidR="008F7A00" w:rsidRPr="008F7A00" w:rsidRDefault="008F7A00" w:rsidP="008F7A00">
            <w:pPr>
              <w:pStyle w:val="af1"/>
              <w:spacing w:line="276" w:lineRule="auto"/>
              <w:jc w:val="left"/>
              <w:rPr>
                <w:rFonts w:ascii="宋体" w:hAnsi="宋体"/>
              </w:rPr>
            </w:pPr>
          </w:p>
          <w:p w14:paraId="127FC3B8" w14:textId="77777777" w:rsidR="008F7A00" w:rsidRPr="008F7A00" w:rsidRDefault="008F7A00" w:rsidP="008F7A00">
            <w:pPr>
              <w:pStyle w:val="af1"/>
              <w:spacing w:line="276" w:lineRule="auto"/>
              <w:jc w:val="left"/>
              <w:rPr>
                <w:rFonts w:ascii="宋体" w:hAnsi="宋体"/>
              </w:rPr>
            </w:pPr>
            <w:r w:rsidRPr="008F7A00">
              <w:rPr>
                <w:rFonts w:ascii="宋体" w:hAnsi="宋体"/>
              </w:rPr>
              <w:t>3.</w:t>
            </w:r>
            <w:r w:rsidRPr="008F7A00">
              <w:rPr>
                <w:rFonts w:ascii="宋体" w:hAnsi="宋体"/>
              </w:rPr>
              <w:tab/>
            </w:r>
            <w:r w:rsidRPr="008F7A00">
              <w:rPr>
                <w:rFonts w:ascii="宋体" w:hAnsi="宋体" w:hint="eastAsia"/>
              </w:rPr>
              <w:t>公司客户的应收账款情况如何？可有大额坏账的风险？</w:t>
            </w:r>
          </w:p>
          <w:p w14:paraId="4A8436F2" w14:textId="3283B474" w:rsidR="008F7A00" w:rsidRPr="008F7A00" w:rsidRDefault="00B552B1" w:rsidP="008F7A00">
            <w:pPr>
              <w:pStyle w:val="af1"/>
              <w:spacing w:line="276" w:lineRule="auto"/>
              <w:jc w:val="left"/>
              <w:rPr>
                <w:rFonts w:ascii="宋体" w:hAnsi="宋体"/>
              </w:rPr>
            </w:pPr>
            <w:r>
              <w:rPr>
                <w:rFonts w:ascii="宋体" w:hAnsi="宋体" w:hint="eastAsia"/>
              </w:rPr>
              <w:t>答：公司高度关注应收账款的安全，目前公司五大客户均为行业</w:t>
            </w:r>
            <w:r w:rsidR="008F7A00" w:rsidRPr="008F7A00">
              <w:rPr>
                <w:rFonts w:ascii="宋体" w:hAnsi="宋体" w:hint="eastAsia"/>
              </w:rPr>
              <w:t>头部客户且应收款占比超过了</w:t>
            </w:r>
            <w:r w:rsidR="008F7A00" w:rsidRPr="008F7A00">
              <w:rPr>
                <w:rFonts w:ascii="宋体" w:hAnsi="宋体"/>
              </w:rPr>
              <w:t>80%</w:t>
            </w:r>
            <w:r w:rsidR="008F7A00" w:rsidRPr="008F7A00">
              <w:rPr>
                <w:rFonts w:ascii="宋体" w:hAnsi="宋体" w:hint="eastAsia"/>
              </w:rPr>
              <w:t>。以上客户均为国内知名上市公司，实力雄厚、支付能力强，应收款到期回款情况较好，支付的票据可随时变现流通，尚未发现大额坏账的迹象。</w:t>
            </w:r>
          </w:p>
          <w:p w14:paraId="4D3CB83B" w14:textId="77777777" w:rsidR="008F7A00" w:rsidRPr="008F7A00" w:rsidRDefault="008F7A00" w:rsidP="008F7A00">
            <w:pPr>
              <w:pStyle w:val="af1"/>
              <w:spacing w:line="276" w:lineRule="auto"/>
              <w:jc w:val="left"/>
              <w:rPr>
                <w:rFonts w:ascii="宋体" w:hAnsi="宋体"/>
              </w:rPr>
            </w:pPr>
          </w:p>
          <w:p w14:paraId="2D7492DD" w14:textId="770768C5" w:rsidR="008F7A00" w:rsidRPr="008F7A00" w:rsidRDefault="008F7A00" w:rsidP="008F7A00">
            <w:pPr>
              <w:pStyle w:val="af1"/>
              <w:spacing w:line="276" w:lineRule="auto"/>
              <w:jc w:val="left"/>
              <w:rPr>
                <w:rFonts w:ascii="宋体" w:hAnsi="宋体"/>
              </w:rPr>
            </w:pPr>
            <w:r w:rsidRPr="008F7A00">
              <w:rPr>
                <w:rFonts w:ascii="宋体" w:hAnsi="宋体"/>
              </w:rPr>
              <w:t>4.</w:t>
            </w:r>
            <w:r w:rsidRPr="008F7A00">
              <w:rPr>
                <w:rFonts w:ascii="宋体" w:hAnsi="宋体"/>
              </w:rPr>
              <w:tab/>
            </w:r>
            <w:r w:rsidR="00B552B1">
              <w:rPr>
                <w:rFonts w:ascii="宋体" w:hAnsi="宋体" w:hint="eastAsia"/>
              </w:rPr>
              <w:t>公司近期</w:t>
            </w:r>
            <w:r w:rsidRPr="008F7A00">
              <w:rPr>
                <w:rFonts w:ascii="宋体" w:hAnsi="宋体" w:hint="eastAsia"/>
              </w:rPr>
              <w:t>推出</w:t>
            </w:r>
            <w:r w:rsidR="00B552B1">
              <w:rPr>
                <w:rFonts w:ascii="宋体" w:hAnsi="宋体" w:hint="eastAsia"/>
              </w:rPr>
              <w:t>的</w:t>
            </w:r>
            <w:r w:rsidRPr="008F7A00">
              <w:rPr>
                <w:rFonts w:ascii="宋体" w:hAnsi="宋体" w:hint="eastAsia"/>
              </w:rPr>
              <w:t>调光膜产品，具体介绍一下情况？</w:t>
            </w:r>
          </w:p>
          <w:p w14:paraId="6C33038C" w14:textId="2BD7109D" w:rsidR="008F7A00" w:rsidRPr="008F7A00" w:rsidRDefault="008F7A00" w:rsidP="008F7A00">
            <w:pPr>
              <w:pStyle w:val="af1"/>
              <w:spacing w:line="276" w:lineRule="auto"/>
              <w:jc w:val="left"/>
              <w:rPr>
                <w:rFonts w:ascii="宋体" w:hAnsi="宋体"/>
              </w:rPr>
            </w:pPr>
            <w:r w:rsidRPr="008F7A00">
              <w:rPr>
                <w:rFonts w:ascii="宋体" w:hAnsi="宋体" w:hint="eastAsia"/>
              </w:rPr>
              <w:t>答：随着汽车天幕逐步成为新车设计主流理念，传统透明玻璃的天幕的降热问题成为行业痛点。公司近期联合业内知名车玻厂商推出一款全新的智能调光全景汽车天幕，该产品的正式上市意味着公司</w:t>
            </w:r>
            <w:r w:rsidR="00B552B1">
              <w:rPr>
                <w:rFonts w:ascii="宋体" w:hAnsi="宋体" w:hint="eastAsia"/>
              </w:rPr>
              <w:t>研发的</w:t>
            </w:r>
            <w:r w:rsidRPr="008F7A00">
              <w:rPr>
                <w:rFonts w:ascii="宋体" w:hAnsi="宋体"/>
              </w:rPr>
              <w:t>PDCLC</w:t>
            </w:r>
            <w:r w:rsidRPr="008F7A00">
              <w:rPr>
                <w:rFonts w:ascii="宋体" w:hAnsi="宋体" w:hint="eastAsia"/>
              </w:rPr>
              <w:t>调光膜</w:t>
            </w:r>
            <w:proofErr w:type="spellStart"/>
            <w:r w:rsidRPr="008F7A00">
              <w:rPr>
                <w:rFonts w:ascii="宋体" w:hAnsi="宋体"/>
              </w:rPr>
              <w:t>Lightfeel</w:t>
            </w:r>
            <w:proofErr w:type="spellEnd"/>
            <w:r w:rsidRPr="008F7A00">
              <w:rPr>
                <w:rFonts w:ascii="宋体" w:hAnsi="宋体"/>
              </w:rPr>
              <w:t>™</w:t>
            </w:r>
            <w:r w:rsidRPr="008F7A00">
              <w:rPr>
                <w:rFonts w:ascii="宋体" w:hAnsi="宋体" w:hint="eastAsia"/>
              </w:rPr>
              <w:t>正式实现市场商业化。</w:t>
            </w:r>
            <w:r w:rsidR="00CE4180">
              <w:rPr>
                <w:rFonts w:ascii="宋体" w:hAnsi="宋体" w:hint="eastAsia"/>
              </w:rPr>
              <w:t>传统</w:t>
            </w:r>
            <w:r w:rsidR="00CE4180" w:rsidRPr="008F7A00">
              <w:rPr>
                <w:rFonts w:ascii="宋体" w:hAnsi="宋体"/>
              </w:rPr>
              <w:t>PDLC</w:t>
            </w:r>
            <w:r w:rsidR="00CE4180">
              <w:rPr>
                <w:rFonts w:ascii="宋体" w:hAnsi="宋体" w:hint="eastAsia"/>
              </w:rPr>
              <w:t>调光膜为白色调光，</w:t>
            </w:r>
            <w:r w:rsidRPr="008F7A00">
              <w:rPr>
                <w:rFonts w:ascii="宋体" w:hAnsi="宋体" w:hint="eastAsia"/>
              </w:rPr>
              <w:t>公司调光膜产品采用</w:t>
            </w:r>
            <w:r w:rsidRPr="008F7A00">
              <w:rPr>
                <w:rFonts w:ascii="宋体" w:hAnsi="宋体"/>
              </w:rPr>
              <w:t>PDLC(</w:t>
            </w:r>
            <w:r w:rsidRPr="008F7A00">
              <w:rPr>
                <w:rFonts w:ascii="宋体" w:hAnsi="宋体" w:hint="eastAsia"/>
              </w:rPr>
              <w:t>液晶</w:t>
            </w:r>
            <w:r w:rsidRPr="008F7A00">
              <w:rPr>
                <w:rFonts w:ascii="宋体" w:hAnsi="宋体"/>
              </w:rPr>
              <w:t>)</w:t>
            </w:r>
            <w:r w:rsidR="00CE4180">
              <w:rPr>
                <w:rFonts w:ascii="宋体" w:hAnsi="宋体" w:hint="eastAsia"/>
              </w:rPr>
              <w:t>技术路线，在液晶中添加黑色染料，领先推出性能优良的</w:t>
            </w:r>
            <w:r w:rsidR="00B552B1">
              <w:rPr>
                <w:rFonts w:ascii="宋体" w:hAnsi="宋体" w:hint="eastAsia"/>
              </w:rPr>
              <w:t>灰黑色调光膜，并因</w:t>
            </w:r>
            <w:r w:rsidRPr="008F7A00">
              <w:rPr>
                <w:rFonts w:ascii="宋体" w:hAnsi="宋体" w:hint="eastAsia"/>
              </w:rPr>
              <w:t>自主合成</w:t>
            </w:r>
            <w:r w:rsidR="00B552B1">
              <w:rPr>
                <w:rFonts w:ascii="宋体" w:hAnsi="宋体" w:hint="eastAsia"/>
              </w:rPr>
              <w:t>染料而产品成本具备</w:t>
            </w:r>
            <w:r w:rsidRPr="008F7A00">
              <w:rPr>
                <w:rFonts w:ascii="宋体" w:hAnsi="宋体" w:hint="eastAsia"/>
              </w:rPr>
              <w:t>优势。</w:t>
            </w:r>
          </w:p>
          <w:p w14:paraId="7C1BF4D6" w14:textId="02F83DD3" w:rsidR="008F7A00" w:rsidRPr="008F7A00" w:rsidRDefault="00B552B1" w:rsidP="00B552B1">
            <w:pPr>
              <w:pStyle w:val="af1"/>
              <w:spacing w:line="276" w:lineRule="auto"/>
              <w:ind w:firstLineChars="200" w:firstLine="420"/>
              <w:jc w:val="left"/>
              <w:rPr>
                <w:rFonts w:ascii="宋体" w:hAnsi="宋体"/>
              </w:rPr>
            </w:pPr>
            <w:r>
              <w:rPr>
                <w:rFonts w:ascii="宋体" w:hAnsi="宋体" w:hint="eastAsia"/>
              </w:rPr>
              <w:t>同时，公司聘请了汽车领域从业多年的</w:t>
            </w:r>
            <w:r w:rsidR="008F7A00" w:rsidRPr="008F7A00">
              <w:rPr>
                <w:rFonts w:ascii="宋体" w:hAnsi="宋体" w:hint="eastAsia"/>
              </w:rPr>
              <w:t>专业人才担任公司副总裁，汽车事业部总经理，加快汽车领域新产品的推广速度，提升公司汽车领域的专业度和国际化程度。</w:t>
            </w:r>
          </w:p>
          <w:p w14:paraId="578CB3FF" w14:textId="77777777" w:rsidR="008F7A00" w:rsidRPr="008F7A00" w:rsidRDefault="008F7A00" w:rsidP="008F7A00">
            <w:pPr>
              <w:pStyle w:val="af1"/>
              <w:spacing w:line="276" w:lineRule="auto"/>
              <w:jc w:val="left"/>
              <w:rPr>
                <w:rFonts w:ascii="宋体" w:hAnsi="宋体"/>
              </w:rPr>
            </w:pPr>
          </w:p>
          <w:p w14:paraId="4BE21A06" w14:textId="77777777" w:rsidR="008F7A00" w:rsidRPr="008F7A00" w:rsidRDefault="008F7A00" w:rsidP="008F7A00">
            <w:pPr>
              <w:pStyle w:val="af1"/>
              <w:spacing w:line="276" w:lineRule="auto"/>
              <w:jc w:val="left"/>
              <w:rPr>
                <w:rFonts w:ascii="宋体" w:hAnsi="宋体"/>
              </w:rPr>
            </w:pPr>
            <w:r w:rsidRPr="008F7A00">
              <w:rPr>
                <w:rFonts w:ascii="宋体" w:hAnsi="宋体"/>
              </w:rPr>
              <w:t>5.</w:t>
            </w:r>
            <w:r w:rsidRPr="008F7A00">
              <w:rPr>
                <w:rFonts w:ascii="宋体" w:hAnsi="宋体"/>
              </w:rPr>
              <w:tab/>
            </w:r>
            <w:r w:rsidRPr="008F7A00">
              <w:rPr>
                <w:rFonts w:ascii="宋体" w:hAnsi="宋体" w:hint="eastAsia"/>
              </w:rPr>
              <w:t>公司近期公告修订了章程中关于分红的规定，是否可以理解为公司有计划增加分红的频次呢？</w:t>
            </w:r>
          </w:p>
          <w:p w14:paraId="288BD442" w14:textId="17196BF3" w:rsidR="008F7A00" w:rsidRPr="00F7377D" w:rsidRDefault="008F7A00" w:rsidP="008F7A00">
            <w:pPr>
              <w:pStyle w:val="af1"/>
              <w:spacing w:line="276" w:lineRule="auto"/>
              <w:jc w:val="left"/>
              <w:rPr>
                <w:rFonts w:ascii="宋体" w:hAnsi="宋体"/>
                <w:spacing w:val="30"/>
                <w:szCs w:val="21"/>
                <w:shd w:val="clear" w:color="auto" w:fill="FFFFFF"/>
              </w:rPr>
            </w:pPr>
            <w:r w:rsidRPr="008F7A00">
              <w:rPr>
                <w:rFonts w:ascii="宋体" w:hAnsi="宋体" w:hint="eastAsia"/>
              </w:rPr>
              <w:t>答：公司制定了提质增效重回报行动方案，</w:t>
            </w:r>
            <w:r w:rsidR="00CE4180">
              <w:rPr>
                <w:rFonts w:ascii="宋体" w:hAnsi="宋体" w:hint="eastAsia"/>
              </w:rPr>
              <w:t>其中包括积极推动多次分红，为投资者提升获得感的行动计划，公司应</w:t>
            </w:r>
            <w:r w:rsidRPr="008F7A00">
              <w:rPr>
                <w:rFonts w:ascii="宋体" w:hAnsi="宋体" w:hint="eastAsia"/>
              </w:rPr>
              <w:t>积极相应与付诸实践。后续公司将按照法律法规及相关规定，合法合规履行，具体还请投资者关注公司公告。</w:t>
            </w:r>
          </w:p>
        </w:tc>
      </w:tr>
      <w:tr w:rsidR="00B15A90" w:rsidRPr="006B0E96" w14:paraId="52369E78"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6B0E96" w:rsidRDefault="0059582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78F19212" w:rsidR="00486419" w:rsidRPr="006B0E96" w:rsidRDefault="00E06E35" w:rsidP="005D666F">
            <w:pPr>
              <w:snapToGrid w:val="0"/>
              <w:spacing w:beforeLines="30" w:before="72" w:afterLines="30" w:after="72" w:line="276" w:lineRule="auto"/>
              <w:jc w:val="both"/>
              <w:rPr>
                <w:rFonts w:ascii="宋体" w:eastAsia="宋体" w:hAnsi="宋体" w:cs="宋体"/>
                <w:color w:val="auto"/>
                <w:sz w:val="21"/>
                <w:szCs w:val="21"/>
              </w:rPr>
            </w:pPr>
            <w:r w:rsidRPr="006B0E96">
              <w:rPr>
                <w:rFonts w:ascii="宋体" w:eastAsia="宋体" w:hAnsi="宋体" w:cs="宋体" w:hint="eastAsia"/>
                <w:color w:val="auto"/>
                <w:sz w:val="21"/>
                <w:szCs w:val="21"/>
              </w:rPr>
              <w:t>无</w:t>
            </w:r>
          </w:p>
        </w:tc>
      </w:tr>
      <w:tr w:rsidR="00B15A90" w:rsidRPr="006B0E96" w14:paraId="4BAAEEA4"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6B0E96" w:rsidRDefault="00753D8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6F04678B" w:rsidR="00753D88" w:rsidRPr="006B0E96" w:rsidRDefault="008B48E9"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2</w:t>
            </w:r>
            <w:r w:rsidR="00470031">
              <w:rPr>
                <w:rFonts w:ascii="宋体" w:eastAsia="宋体" w:hAnsi="宋体"/>
                <w:color w:val="auto"/>
                <w:sz w:val="21"/>
                <w:szCs w:val="21"/>
              </w:rPr>
              <w:t>02</w:t>
            </w:r>
            <w:r w:rsidR="001C2028">
              <w:rPr>
                <w:rFonts w:ascii="宋体" w:eastAsia="宋体" w:hAnsi="宋体"/>
                <w:color w:val="auto"/>
                <w:sz w:val="21"/>
                <w:szCs w:val="21"/>
              </w:rPr>
              <w:t>4</w:t>
            </w:r>
            <w:r w:rsidRPr="006B0E96">
              <w:rPr>
                <w:rFonts w:ascii="宋体" w:eastAsia="宋体" w:hAnsi="宋体" w:hint="eastAsia"/>
                <w:color w:val="auto"/>
                <w:sz w:val="21"/>
                <w:szCs w:val="21"/>
              </w:rPr>
              <w:t>年</w:t>
            </w:r>
            <w:r w:rsidR="008F7A00">
              <w:rPr>
                <w:rFonts w:ascii="宋体" w:eastAsia="宋体" w:hAnsi="宋体"/>
                <w:color w:val="auto"/>
                <w:sz w:val="21"/>
                <w:szCs w:val="21"/>
              </w:rPr>
              <w:t>6</w:t>
            </w:r>
            <w:r w:rsidR="00470031">
              <w:rPr>
                <w:rFonts w:ascii="宋体" w:eastAsia="宋体" w:hAnsi="宋体"/>
                <w:color w:val="auto"/>
                <w:sz w:val="21"/>
                <w:szCs w:val="21"/>
              </w:rPr>
              <w:t>月</w:t>
            </w:r>
            <w:r w:rsidR="008F7A00">
              <w:rPr>
                <w:rFonts w:ascii="宋体" w:eastAsia="宋体" w:hAnsi="宋体"/>
                <w:color w:val="auto"/>
                <w:sz w:val="21"/>
                <w:szCs w:val="21"/>
              </w:rPr>
              <w:t>28</w:t>
            </w:r>
            <w:r w:rsidR="001074F7" w:rsidRPr="006B0E96">
              <w:rPr>
                <w:rFonts w:ascii="宋体" w:eastAsia="宋体" w:hAnsi="宋体" w:hint="eastAsia"/>
                <w:color w:val="auto"/>
                <w:sz w:val="21"/>
                <w:szCs w:val="21"/>
              </w:rPr>
              <w:t>日</w:t>
            </w:r>
          </w:p>
        </w:tc>
      </w:tr>
    </w:tbl>
    <w:p w14:paraId="276A7ABE" w14:textId="22DEFA64" w:rsidR="00E56F31" w:rsidRPr="006B0E96" w:rsidRDefault="00E56F31" w:rsidP="007344FC">
      <w:pPr>
        <w:spacing w:after="0" w:line="276" w:lineRule="auto"/>
        <w:jc w:val="both"/>
        <w:rPr>
          <w:rFonts w:ascii="宋体" w:eastAsia="宋体" w:hAnsi="宋体"/>
          <w:color w:val="auto"/>
          <w:sz w:val="24"/>
          <w:szCs w:val="24"/>
        </w:rPr>
      </w:pPr>
    </w:p>
    <w:sectPr w:rsidR="00E56F31" w:rsidRPr="006B0E96" w:rsidSect="002324EA">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0D1B3" w14:textId="77777777" w:rsidR="00496FA5" w:rsidRDefault="00496FA5" w:rsidP="00595828">
      <w:pPr>
        <w:spacing w:after="0" w:line="240" w:lineRule="auto"/>
      </w:pPr>
      <w:r>
        <w:separator/>
      </w:r>
    </w:p>
  </w:endnote>
  <w:endnote w:type="continuationSeparator" w:id="0">
    <w:p w14:paraId="1A0380CA" w14:textId="77777777" w:rsidR="00496FA5" w:rsidRDefault="00496FA5"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1B283" w14:textId="77777777" w:rsidR="00496FA5" w:rsidRDefault="00496FA5" w:rsidP="00595828">
      <w:pPr>
        <w:spacing w:after="0" w:line="240" w:lineRule="auto"/>
      </w:pPr>
      <w:r>
        <w:separator/>
      </w:r>
    </w:p>
  </w:footnote>
  <w:footnote w:type="continuationSeparator" w:id="0">
    <w:p w14:paraId="5155F7A6" w14:textId="77777777" w:rsidR="00496FA5" w:rsidRDefault="00496FA5"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149"/>
    <w:multiLevelType w:val="hybridMultilevel"/>
    <w:tmpl w:val="620007D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4F6030"/>
    <w:multiLevelType w:val="hybridMultilevel"/>
    <w:tmpl w:val="9D72C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496C10"/>
    <w:multiLevelType w:val="hybridMultilevel"/>
    <w:tmpl w:val="C3008C66"/>
    <w:lvl w:ilvl="0" w:tplc="CF4E96A8">
      <w:start w:val="1"/>
      <w:numFmt w:val="bullet"/>
      <w:lvlText w:val=""/>
      <w:lvlJc w:val="left"/>
      <w:pPr>
        <w:tabs>
          <w:tab w:val="num" w:pos="720"/>
        </w:tabs>
        <w:ind w:left="720" w:hanging="360"/>
      </w:pPr>
      <w:rPr>
        <w:rFonts w:ascii="Wingdings" w:hAnsi="Wingdings" w:hint="default"/>
      </w:rPr>
    </w:lvl>
    <w:lvl w:ilvl="1" w:tplc="319447E6" w:tentative="1">
      <w:start w:val="1"/>
      <w:numFmt w:val="bullet"/>
      <w:lvlText w:val=""/>
      <w:lvlJc w:val="left"/>
      <w:pPr>
        <w:tabs>
          <w:tab w:val="num" w:pos="1440"/>
        </w:tabs>
        <w:ind w:left="1440" w:hanging="360"/>
      </w:pPr>
      <w:rPr>
        <w:rFonts w:ascii="Wingdings" w:hAnsi="Wingdings" w:hint="default"/>
      </w:rPr>
    </w:lvl>
    <w:lvl w:ilvl="2" w:tplc="BD62F4EC" w:tentative="1">
      <w:start w:val="1"/>
      <w:numFmt w:val="bullet"/>
      <w:lvlText w:val=""/>
      <w:lvlJc w:val="left"/>
      <w:pPr>
        <w:tabs>
          <w:tab w:val="num" w:pos="2160"/>
        </w:tabs>
        <w:ind w:left="2160" w:hanging="360"/>
      </w:pPr>
      <w:rPr>
        <w:rFonts w:ascii="Wingdings" w:hAnsi="Wingdings" w:hint="default"/>
      </w:rPr>
    </w:lvl>
    <w:lvl w:ilvl="3" w:tplc="C6543FB0" w:tentative="1">
      <w:start w:val="1"/>
      <w:numFmt w:val="bullet"/>
      <w:lvlText w:val=""/>
      <w:lvlJc w:val="left"/>
      <w:pPr>
        <w:tabs>
          <w:tab w:val="num" w:pos="2880"/>
        </w:tabs>
        <w:ind w:left="2880" w:hanging="360"/>
      </w:pPr>
      <w:rPr>
        <w:rFonts w:ascii="Wingdings" w:hAnsi="Wingdings" w:hint="default"/>
      </w:rPr>
    </w:lvl>
    <w:lvl w:ilvl="4" w:tplc="CACC6EE6" w:tentative="1">
      <w:start w:val="1"/>
      <w:numFmt w:val="bullet"/>
      <w:lvlText w:val=""/>
      <w:lvlJc w:val="left"/>
      <w:pPr>
        <w:tabs>
          <w:tab w:val="num" w:pos="3600"/>
        </w:tabs>
        <w:ind w:left="3600" w:hanging="360"/>
      </w:pPr>
      <w:rPr>
        <w:rFonts w:ascii="Wingdings" w:hAnsi="Wingdings" w:hint="default"/>
      </w:rPr>
    </w:lvl>
    <w:lvl w:ilvl="5" w:tplc="FC002F64" w:tentative="1">
      <w:start w:val="1"/>
      <w:numFmt w:val="bullet"/>
      <w:lvlText w:val=""/>
      <w:lvlJc w:val="left"/>
      <w:pPr>
        <w:tabs>
          <w:tab w:val="num" w:pos="4320"/>
        </w:tabs>
        <w:ind w:left="4320" w:hanging="360"/>
      </w:pPr>
      <w:rPr>
        <w:rFonts w:ascii="Wingdings" w:hAnsi="Wingdings" w:hint="default"/>
      </w:rPr>
    </w:lvl>
    <w:lvl w:ilvl="6" w:tplc="902A4328" w:tentative="1">
      <w:start w:val="1"/>
      <w:numFmt w:val="bullet"/>
      <w:lvlText w:val=""/>
      <w:lvlJc w:val="left"/>
      <w:pPr>
        <w:tabs>
          <w:tab w:val="num" w:pos="5040"/>
        </w:tabs>
        <w:ind w:left="5040" w:hanging="360"/>
      </w:pPr>
      <w:rPr>
        <w:rFonts w:ascii="Wingdings" w:hAnsi="Wingdings" w:hint="default"/>
      </w:rPr>
    </w:lvl>
    <w:lvl w:ilvl="7" w:tplc="E648F5E2" w:tentative="1">
      <w:start w:val="1"/>
      <w:numFmt w:val="bullet"/>
      <w:lvlText w:val=""/>
      <w:lvlJc w:val="left"/>
      <w:pPr>
        <w:tabs>
          <w:tab w:val="num" w:pos="5760"/>
        </w:tabs>
        <w:ind w:left="5760" w:hanging="360"/>
      </w:pPr>
      <w:rPr>
        <w:rFonts w:ascii="Wingdings" w:hAnsi="Wingdings" w:hint="default"/>
      </w:rPr>
    </w:lvl>
    <w:lvl w:ilvl="8" w:tplc="798C7C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C5D4E"/>
    <w:multiLevelType w:val="hybridMultilevel"/>
    <w:tmpl w:val="705CE0FA"/>
    <w:lvl w:ilvl="0" w:tplc="8626D5FE">
      <w:start w:val="1"/>
      <w:numFmt w:val="bullet"/>
      <w:lvlText w:val=""/>
      <w:lvlJc w:val="left"/>
      <w:pPr>
        <w:tabs>
          <w:tab w:val="num" w:pos="720"/>
        </w:tabs>
        <w:ind w:left="720" w:hanging="360"/>
      </w:pPr>
      <w:rPr>
        <w:rFonts w:ascii="Wingdings" w:hAnsi="Wingdings" w:hint="default"/>
      </w:rPr>
    </w:lvl>
    <w:lvl w:ilvl="1" w:tplc="F63038A2" w:tentative="1">
      <w:start w:val="1"/>
      <w:numFmt w:val="bullet"/>
      <w:lvlText w:val=""/>
      <w:lvlJc w:val="left"/>
      <w:pPr>
        <w:tabs>
          <w:tab w:val="num" w:pos="1440"/>
        </w:tabs>
        <w:ind w:left="1440" w:hanging="360"/>
      </w:pPr>
      <w:rPr>
        <w:rFonts w:ascii="Wingdings" w:hAnsi="Wingdings" w:hint="default"/>
      </w:rPr>
    </w:lvl>
    <w:lvl w:ilvl="2" w:tplc="12FC9EDA" w:tentative="1">
      <w:start w:val="1"/>
      <w:numFmt w:val="bullet"/>
      <w:lvlText w:val=""/>
      <w:lvlJc w:val="left"/>
      <w:pPr>
        <w:tabs>
          <w:tab w:val="num" w:pos="2160"/>
        </w:tabs>
        <w:ind w:left="2160" w:hanging="360"/>
      </w:pPr>
      <w:rPr>
        <w:rFonts w:ascii="Wingdings" w:hAnsi="Wingdings" w:hint="default"/>
      </w:rPr>
    </w:lvl>
    <w:lvl w:ilvl="3" w:tplc="C1E2A938" w:tentative="1">
      <w:start w:val="1"/>
      <w:numFmt w:val="bullet"/>
      <w:lvlText w:val=""/>
      <w:lvlJc w:val="left"/>
      <w:pPr>
        <w:tabs>
          <w:tab w:val="num" w:pos="2880"/>
        </w:tabs>
        <w:ind w:left="2880" w:hanging="360"/>
      </w:pPr>
      <w:rPr>
        <w:rFonts w:ascii="Wingdings" w:hAnsi="Wingdings" w:hint="default"/>
      </w:rPr>
    </w:lvl>
    <w:lvl w:ilvl="4" w:tplc="5192A2DA" w:tentative="1">
      <w:start w:val="1"/>
      <w:numFmt w:val="bullet"/>
      <w:lvlText w:val=""/>
      <w:lvlJc w:val="left"/>
      <w:pPr>
        <w:tabs>
          <w:tab w:val="num" w:pos="3600"/>
        </w:tabs>
        <w:ind w:left="3600" w:hanging="360"/>
      </w:pPr>
      <w:rPr>
        <w:rFonts w:ascii="Wingdings" w:hAnsi="Wingdings" w:hint="default"/>
      </w:rPr>
    </w:lvl>
    <w:lvl w:ilvl="5" w:tplc="F5880EAA" w:tentative="1">
      <w:start w:val="1"/>
      <w:numFmt w:val="bullet"/>
      <w:lvlText w:val=""/>
      <w:lvlJc w:val="left"/>
      <w:pPr>
        <w:tabs>
          <w:tab w:val="num" w:pos="4320"/>
        </w:tabs>
        <w:ind w:left="4320" w:hanging="360"/>
      </w:pPr>
      <w:rPr>
        <w:rFonts w:ascii="Wingdings" w:hAnsi="Wingdings" w:hint="default"/>
      </w:rPr>
    </w:lvl>
    <w:lvl w:ilvl="6" w:tplc="F6A0FC82" w:tentative="1">
      <w:start w:val="1"/>
      <w:numFmt w:val="bullet"/>
      <w:lvlText w:val=""/>
      <w:lvlJc w:val="left"/>
      <w:pPr>
        <w:tabs>
          <w:tab w:val="num" w:pos="5040"/>
        </w:tabs>
        <w:ind w:left="5040" w:hanging="360"/>
      </w:pPr>
      <w:rPr>
        <w:rFonts w:ascii="Wingdings" w:hAnsi="Wingdings" w:hint="default"/>
      </w:rPr>
    </w:lvl>
    <w:lvl w:ilvl="7" w:tplc="AE08162A" w:tentative="1">
      <w:start w:val="1"/>
      <w:numFmt w:val="bullet"/>
      <w:lvlText w:val=""/>
      <w:lvlJc w:val="left"/>
      <w:pPr>
        <w:tabs>
          <w:tab w:val="num" w:pos="5760"/>
        </w:tabs>
        <w:ind w:left="5760" w:hanging="360"/>
      </w:pPr>
      <w:rPr>
        <w:rFonts w:ascii="Wingdings" w:hAnsi="Wingdings" w:hint="default"/>
      </w:rPr>
    </w:lvl>
    <w:lvl w:ilvl="8" w:tplc="908E34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C539C"/>
    <w:multiLevelType w:val="hybridMultilevel"/>
    <w:tmpl w:val="EA4A95B2"/>
    <w:lvl w:ilvl="0" w:tplc="0409000F">
      <w:start w:val="1"/>
      <w:numFmt w:val="decimal"/>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8" w15:restartNumberingAfterBreak="0">
    <w:nsid w:val="0F2A6F76"/>
    <w:multiLevelType w:val="hybridMultilevel"/>
    <w:tmpl w:val="A73E67A2"/>
    <w:lvl w:ilvl="0" w:tplc="254AD9D4">
      <w:start w:val="1"/>
      <w:numFmt w:val="bullet"/>
      <w:lvlText w:val=""/>
      <w:lvlJc w:val="left"/>
      <w:pPr>
        <w:tabs>
          <w:tab w:val="num" w:pos="720"/>
        </w:tabs>
        <w:ind w:left="720" w:hanging="360"/>
      </w:pPr>
      <w:rPr>
        <w:rFonts w:ascii="Wingdings" w:hAnsi="Wingdings" w:hint="default"/>
      </w:rPr>
    </w:lvl>
    <w:lvl w:ilvl="1" w:tplc="358CC8F0" w:tentative="1">
      <w:start w:val="1"/>
      <w:numFmt w:val="bullet"/>
      <w:lvlText w:val=""/>
      <w:lvlJc w:val="left"/>
      <w:pPr>
        <w:tabs>
          <w:tab w:val="num" w:pos="1440"/>
        </w:tabs>
        <w:ind w:left="1440" w:hanging="360"/>
      </w:pPr>
      <w:rPr>
        <w:rFonts w:ascii="Wingdings" w:hAnsi="Wingdings" w:hint="default"/>
      </w:rPr>
    </w:lvl>
    <w:lvl w:ilvl="2" w:tplc="1CF2CBFC" w:tentative="1">
      <w:start w:val="1"/>
      <w:numFmt w:val="bullet"/>
      <w:lvlText w:val=""/>
      <w:lvlJc w:val="left"/>
      <w:pPr>
        <w:tabs>
          <w:tab w:val="num" w:pos="2160"/>
        </w:tabs>
        <w:ind w:left="2160" w:hanging="360"/>
      </w:pPr>
      <w:rPr>
        <w:rFonts w:ascii="Wingdings" w:hAnsi="Wingdings" w:hint="default"/>
      </w:rPr>
    </w:lvl>
    <w:lvl w:ilvl="3" w:tplc="2FEA7464" w:tentative="1">
      <w:start w:val="1"/>
      <w:numFmt w:val="bullet"/>
      <w:lvlText w:val=""/>
      <w:lvlJc w:val="left"/>
      <w:pPr>
        <w:tabs>
          <w:tab w:val="num" w:pos="2880"/>
        </w:tabs>
        <w:ind w:left="2880" w:hanging="360"/>
      </w:pPr>
      <w:rPr>
        <w:rFonts w:ascii="Wingdings" w:hAnsi="Wingdings" w:hint="default"/>
      </w:rPr>
    </w:lvl>
    <w:lvl w:ilvl="4" w:tplc="BE266362" w:tentative="1">
      <w:start w:val="1"/>
      <w:numFmt w:val="bullet"/>
      <w:lvlText w:val=""/>
      <w:lvlJc w:val="left"/>
      <w:pPr>
        <w:tabs>
          <w:tab w:val="num" w:pos="3600"/>
        </w:tabs>
        <w:ind w:left="3600" w:hanging="360"/>
      </w:pPr>
      <w:rPr>
        <w:rFonts w:ascii="Wingdings" w:hAnsi="Wingdings" w:hint="default"/>
      </w:rPr>
    </w:lvl>
    <w:lvl w:ilvl="5" w:tplc="18A4B922" w:tentative="1">
      <w:start w:val="1"/>
      <w:numFmt w:val="bullet"/>
      <w:lvlText w:val=""/>
      <w:lvlJc w:val="left"/>
      <w:pPr>
        <w:tabs>
          <w:tab w:val="num" w:pos="4320"/>
        </w:tabs>
        <w:ind w:left="4320" w:hanging="360"/>
      </w:pPr>
      <w:rPr>
        <w:rFonts w:ascii="Wingdings" w:hAnsi="Wingdings" w:hint="default"/>
      </w:rPr>
    </w:lvl>
    <w:lvl w:ilvl="6" w:tplc="EF2E4042" w:tentative="1">
      <w:start w:val="1"/>
      <w:numFmt w:val="bullet"/>
      <w:lvlText w:val=""/>
      <w:lvlJc w:val="left"/>
      <w:pPr>
        <w:tabs>
          <w:tab w:val="num" w:pos="5040"/>
        </w:tabs>
        <w:ind w:left="5040" w:hanging="360"/>
      </w:pPr>
      <w:rPr>
        <w:rFonts w:ascii="Wingdings" w:hAnsi="Wingdings" w:hint="default"/>
      </w:rPr>
    </w:lvl>
    <w:lvl w:ilvl="7" w:tplc="8AB24546" w:tentative="1">
      <w:start w:val="1"/>
      <w:numFmt w:val="bullet"/>
      <w:lvlText w:val=""/>
      <w:lvlJc w:val="left"/>
      <w:pPr>
        <w:tabs>
          <w:tab w:val="num" w:pos="5760"/>
        </w:tabs>
        <w:ind w:left="5760" w:hanging="360"/>
      </w:pPr>
      <w:rPr>
        <w:rFonts w:ascii="Wingdings" w:hAnsi="Wingdings" w:hint="default"/>
      </w:rPr>
    </w:lvl>
    <w:lvl w:ilvl="8" w:tplc="EE2C91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275807"/>
    <w:multiLevelType w:val="hybridMultilevel"/>
    <w:tmpl w:val="88FE155E"/>
    <w:lvl w:ilvl="0" w:tplc="04090001">
      <w:start w:val="1"/>
      <w:numFmt w:val="bullet"/>
      <w:lvlText w:val=""/>
      <w:lvlJc w:val="left"/>
      <w:pPr>
        <w:ind w:left="416" w:hanging="420"/>
      </w:pPr>
      <w:rPr>
        <w:rFonts w:ascii="Wingdings" w:hAnsi="Wingdings" w:hint="default"/>
      </w:rPr>
    </w:lvl>
    <w:lvl w:ilvl="1" w:tplc="04090003" w:tentative="1">
      <w:start w:val="1"/>
      <w:numFmt w:val="bullet"/>
      <w:lvlText w:val=""/>
      <w:lvlJc w:val="left"/>
      <w:pPr>
        <w:ind w:left="836" w:hanging="420"/>
      </w:pPr>
      <w:rPr>
        <w:rFonts w:ascii="Wingdings" w:hAnsi="Wingdings" w:hint="default"/>
      </w:rPr>
    </w:lvl>
    <w:lvl w:ilvl="2" w:tplc="04090005"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3" w:tentative="1">
      <w:start w:val="1"/>
      <w:numFmt w:val="bullet"/>
      <w:lvlText w:val=""/>
      <w:lvlJc w:val="left"/>
      <w:pPr>
        <w:ind w:left="2096" w:hanging="420"/>
      </w:pPr>
      <w:rPr>
        <w:rFonts w:ascii="Wingdings" w:hAnsi="Wingdings" w:hint="default"/>
      </w:rPr>
    </w:lvl>
    <w:lvl w:ilvl="5" w:tplc="04090005"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3" w:tentative="1">
      <w:start w:val="1"/>
      <w:numFmt w:val="bullet"/>
      <w:lvlText w:val=""/>
      <w:lvlJc w:val="left"/>
      <w:pPr>
        <w:ind w:left="3356" w:hanging="420"/>
      </w:pPr>
      <w:rPr>
        <w:rFonts w:ascii="Wingdings" w:hAnsi="Wingdings" w:hint="default"/>
      </w:rPr>
    </w:lvl>
    <w:lvl w:ilvl="8" w:tplc="04090005" w:tentative="1">
      <w:start w:val="1"/>
      <w:numFmt w:val="bullet"/>
      <w:lvlText w:val=""/>
      <w:lvlJc w:val="left"/>
      <w:pPr>
        <w:ind w:left="3776" w:hanging="420"/>
      </w:pPr>
      <w:rPr>
        <w:rFonts w:ascii="Wingdings" w:hAnsi="Wingdings" w:hint="default"/>
      </w:rPr>
    </w:lvl>
  </w:abstractNum>
  <w:abstractNum w:abstractNumId="13" w15:restartNumberingAfterBreak="0">
    <w:nsid w:val="14BB737D"/>
    <w:multiLevelType w:val="hybridMultilevel"/>
    <w:tmpl w:val="BF78D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80E4CC"/>
    <w:multiLevelType w:val="singleLevel"/>
    <w:tmpl w:val="1680E4CC"/>
    <w:lvl w:ilvl="0">
      <w:start w:val="6"/>
      <w:numFmt w:val="decimal"/>
      <w:suff w:val="nothing"/>
      <w:lvlText w:val="（%1）"/>
      <w:lvlJc w:val="left"/>
    </w:lvl>
  </w:abstractNum>
  <w:abstractNum w:abstractNumId="15"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676B55"/>
    <w:multiLevelType w:val="hybridMultilevel"/>
    <w:tmpl w:val="BD0E5F86"/>
    <w:lvl w:ilvl="0" w:tplc="2D94CD92">
      <w:start w:val="1"/>
      <w:numFmt w:val="bullet"/>
      <w:lvlText w:val=""/>
      <w:lvlJc w:val="left"/>
      <w:pPr>
        <w:tabs>
          <w:tab w:val="num" w:pos="720"/>
        </w:tabs>
        <w:ind w:left="720" w:hanging="360"/>
      </w:pPr>
      <w:rPr>
        <w:rFonts w:ascii="Wingdings" w:hAnsi="Wingdings" w:hint="default"/>
      </w:rPr>
    </w:lvl>
    <w:lvl w:ilvl="1" w:tplc="ECC4CC22" w:tentative="1">
      <w:start w:val="1"/>
      <w:numFmt w:val="bullet"/>
      <w:lvlText w:val=""/>
      <w:lvlJc w:val="left"/>
      <w:pPr>
        <w:tabs>
          <w:tab w:val="num" w:pos="1440"/>
        </w:tabs>
        <w:ind w:left="1440" w:hanging="360"/>
      </w:pPr>
      <w:rPr>
        <w:rFonts w:ascii="Wingdings" w:hAnsi="Wingdings" w:hint="default"/>
      </w:rPr>
    </w:lvl>
    <w:lvl w:ilvl="2" w:tplc="D00AA40E" w:tentative="1">
      <w:start w:val="1"/>
      <w:numFmt w:val="bullet"/>
      <w:lvlText w:val=""/>
      <w:lvlJc w:val="left"/>
      <w:pPr>
        <w:tabs>
          <w:tab w:val="num" w:pos="2160"/>
        </w:tabs>
        <w:ind w:left="2160" w:hanging="360"/>
      </w:pPr>
      <w:rPr>
        <w:rFonts w:ascii="Wingdings" w:hAnsi="Wingdings" w:hint="default"/>
      </w:rPr>
    </w:lvl>
    <w:lvl w:ilvl="3" w:tplc="263C1800" w:tentative="1">
      <w:start w:val="1"/>
      <w:numFmt w:val="bullet"/>
      <w:lvlText w:val=""/>
      <w:lvlJc w:val="left"/>
      <w:pPr>
        <w:tabs>
          <w:tab w:val="num" w:pos="2880"/>
        </w:tabs>
        <w:ind w:left="2880" w:hanging="360"/>
      </w:pPr>
      <w:rPr>
        <w:rFonts w:ascii="Wingdings" w:hAnsi="Wingdings" w:hint="default"/>
      </w:rPr>
    </w:lvl>
    <w:lvl w:ilvl="4" w:tplc="312272D8" w:tentative="1">
      <w:start w:val="1"/>
      <w:numFmt w:val="bullet"/>
      <w:lvlText w:val=""/>
      <w:lvlJc w:val="left"/>
      <w:pPr>
        <w:tabs>
          <w:tab w:val="num" w:pos="3600"/>
        </w:tabs>
        <w:ind w:left="3600" w:hanging="360"/>
      </w:pPr>
      <w:rPr>
        <w:rFonts w:ascii="Wingdings" w:hAnsi="Wingdings" w:hint="default"/>
      </w:rPr>
    </w:lvl>
    <w:lvl w:ilvl="5" w:tplc="2D2650BE" w:tentative="1">
      <w:start w:val="1"/>
      <w:numFmt w:val="bullet"/>
      <w:lvlText w:val=""/>
      <w:lvlJc w:val="left"/>
      <w:pPr>
        <w:tabs>
          <w:tab w:val="num" w:pos="4320"/>
        </w:tabs>
        <w:ind w:left="4320" w:hanging="360"/>
      </w:pPr>
      <w:rPr>
        <w:rFonts w:ascii="Wingdings" w:hAnsi="Wingdings" w:hint="default"/>
      </w:rPr>
    </w:lvl>
    <w:lvl w:ilvl="6" w:tplc="EEE0A2D2" w:tentative="1">
      <w:start w:val="1"/>
      <w:numFmt w:val="bullet"/>
      <w:lvlText w:val=""/>
      <w:lvlJc w:val="left"/>
      <w:pPr>
        <w:tabs>
          <w:tab w:val="num" w:pos="5040"/>
        </w:tabs>
        <w:ind w:left="5040" w:hanging="360"/>
      </w:pPr>
      <w:rPr>
        <w:rFonts w:ascii="Wingdings" w:hAnsi="Wingdings" w:hint="default"/>
      </w:rPr>
    </w:lvl>
    <w:lvl w:ilvl="7" w:tplc="FF447944" w:tentative="1">
      <w:start w:val="1"/>
      <w:numFmt w:val="bullet"/>
      <w:lvlText w:val=""/>
      <w:lvlJc w:val="left"/>
      <w:pPr>
        <w:tabs>
          <w:tab w:val="num" w:pos="5760"/>
        </w:tabs>
        <w:ind w:left="5760" w:hanging="360"/>
      </w:pPr>
      <w:rPr>
        <w:rFonts w:ascii="Wingdings" w:hAnsi="Wingdings" w:hint="default"/>
      </w:rPr>
    </w:lvl>
    <w:lvl w:ilvl="8" w:tplc="C430F1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89A5D78"/>
    <w:multiLevelType w:val="hybridMultilevel"/>
    <w:tmpl w:val="11902B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A8A36B5"/>
    <w:multiLevelType w:val="hybridMultilevel"/>
    <w:tmpl w:val="0F98A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30352E"/>
    <w:multiLevelType w:val="hybridMultilevel"/>
    <w:tmpl w:val="D2ACC07E"/>
    <w:lvl w:ilvl="0" w:tplc="347AAD20">
      <w:start w:val="1"/>
      <w:numFmt w:val="bullet"/>
      <w:lvlText w:val=""/>
      <w:lvlJc w:val="left"/>
      <w:pPr>
        <w:tabs>
          <w:tab w:val="num" w:pos="720"/>
        </w:tabs>
        <w:ind w:left="720" w:hanging="360"/>
      </w:pPr>
      <w:rPr>
        <w:rFonts w:ascii="Wingdings" w:hAnsi="Wingdings" w:hint="default"/>
      </w:rPr>
    </w:lvl>
    <w:lvl w:ilvl="1" w:tplc="112E9806" w:tentative="1">
      <w:start w:val="1"/>
      <w:numFmt w:val="bullet"/>
      <w:lvlText w:val=""/>
      <w:lvlJc w:val="left"/>
      <w:pPr>
        <w:tabs>
          <w:tab w:val="num" w:pos="1440"/>
        </w:tabs>
        <w:ind w:left="1440" w:hanging="360"/>
      </w:pPr>
      <w:rPr>
        <w:rFonts w:ascii="Wingdings" w:hAnsi="Wingdings" w:hint="default"/>
      </w:rPr>
    </w:lvl>
    <w:lvl w:ilvl="2" w:tplc="BD76CD78" w:tentative="1">
      <w:start w:val="1"/>
      <w:numFmt w:val="bullet"/>
      <w:lvlText w:val=""/>
      <w:lvlJc w:val="left"/>
      <w:pPr>
        <w:tabs>
          <w:tab w:val="num" w:pos="2160"/>
        </w:tabs>
        <w:ind w:left="2160" w:hanging="360"/>
      </w:pPr>
      <w:rPr>
        <w:rFonts w:ascii="Wingdings" w:hAnsi="Wingdings" w:hint="default"/>
      </w:rPr>
    </w:lvl>
    <w:lvl w:ilvl="3" w:tplc="262854C2" w:tentative="1">
      <w:start w:val="1"/>
      <w:numFmt w:val="bullet"/>
      <w:lvlText w:val=""/>
      <w:lvlJc w:val="left"/>
      <w:pPr>
        <w:tabs>
          <w:tab w:val="num" w:pos="2880"/>
        </w:tabs>
        <w:ind w:left="2880" w:hanging="360"/>
      </w:pPr>
      <w:rPr>
        <w:rFonts w:ascii="Wingdings" w:hAnsi="Wingdings" w:hint="default"/>
      </w:rPr>
    </w:lvl>
    <w:lvl w:ilvl="4" w:tplc="21D68A6E" w:tentative="1">
      <w:start w:val="1"/>
      <w:numFmt w:val="bullet"/>
      <w:lvlText w:val=""/>
      <w:lvlJc w:val="left"/>
      <w:pPr>
        <w:tabs>
          <w:tab w:val="num" w:pos="3600"/>
        </w:tabs>
        <w:ind w:left="3600" w:hanging="360"/>
      </w:pPr>
      <w:rPr>
        <w:rFonts w:ascii="Wingdings" w:hAnsi="Wingdings" w:hint="default"/>
      </w:rPr>
    </w:lvl>
    <w:lvl w:ilvl="5" w:tplc="34C4A908" w:tentative="1">
      <w:start w:val="1"/>
      <w:numFmt w:val="bullet"/>
      <w:lvlText w:val=""/>
      <w:lvlJc w:val="left"/>
      <w:pPr>
        <w:tabs>
          <w:tab w:val="num" w:pos="4320"/>
        </w:tabs>
        <w:ind w:left="4320" w:hanging="360"/>
      </w:pPr>
      <w:rPr>
        <w:rFonts w:ascii="Wingdings" w:hAnsi="Wingdings" w:hint="default"/>
      </w:rPr>
    </w:lvl>
    <w:lvl w:ilvl="6" w:tplc="1486A580" w:tentative="1">
      <w:start w:val="1"/>
      <w:numFmt w:val="bullet"/>
      <w:lvlText w:val=""/>
      <w:lvlJc w:val="left"/>
      <w:pPr>
        <w:tabs>
          <w:tab w:val="num" w:pos="5040"/>
        </w:tabs>
        <w:ind w:left="5040" w:hanging="360"/>
      </w:pPr>
      <w:rPr>
        <w:rFonts w:ascii="Wingdings" w:hAnsi="Wingdings" w:hint="default"/>
      </w:rPr>
    </w:lvl>
    <w:lvl w:ilvl="7" w:tplc="9084AB80" w:tentative="1">
      <w:start w:val="1"/>
      <w:numFmt w:val="bullet"/>
      <w:lvlText w:val=""/>
      <w:lvlJc w:val="left"/>
      <w:pPr>
        <w:tabs>
          <w:tab w:val="num" w:pos="5760"/>
        </w:tabs>
        <w:ind w:left="5760" w:hanging="360"/>
      </w:pPr>
      <w:rPr>
        <w:rFonts w:ascii="Wingdings" w:hAnsi="Wingdings" w:hint="default"/>
      </w:rPr>
    </w:lvl>
    <w:lvl w:ilvl="8" w:tplc="D29E80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B2090"/>
    <w:multiLevelType w:val="hybridMultilevel"/>
    <w:tmpl w:val="9D72C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25" w15:restartNumberingAfterBreak="0">
    <w:nsid w:val="39C868A1"/>
    <w:multiLevelType w:val="hybridMultilevel"/>
    <w:tmpl w:val="65A4A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993789"/>
    <w:multiLevelType w:val="hybridMultilevel"/>
    <w:tmpl w:val="B7F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7244AC"/>
    <w:multiLevelType w:val="hybridMultilevel"/>
    <w:tmpl w:val="70EC7AFC"/>
    <w:lvl w:ilvl="0" w:tplc="7B725962">
      <w:start w:val="1"/>
      <w:numFmt w:val="bullet"/>
      <w:lvlText w:val=""/>
      <w:lvlJc w:val="left"/>
      <w:pPr>
        <w:tabs>
          <w:tab w:val="num" w:pos="720"/>
        </w:tabs>
        <w:ind w:left="720" w:hanging="360"/>
      </w:pPr>
      <w:rPr>
        <w:rFonts w:ascii="Wingdings" w:hAnsi="Wingdings" w:hint="default"/>
      </w:rPr>
    </w:lvl>
    <w:lvl w:ilvl="1" w:tplc="84AEAB96" w:tentative="1">
      <w:start w:val="1"/>
      <w:numFmt w:val="bullet"/>
      <w:lvlText w:val=""/>
      <w:lvlJc w:val="left"/>
      <w:pPr>
        <w:tabs>
          <w:tab w:val="num" w:pos="1440"/>
        </w:tabs>
        <w:ind w:left="1440" w:hanging="360"/>
      </w:pPr>
      <w:rPr>
        <w:rFonts w:ascii="Wingdings" w:hAnsi="Wingdings" w:hint="default"/>
      </w:rPr>
    </w:lvl>
    <w:lvl w:ilvl="2" w:tplc="471426CE" w:tentative="1">
      <w:start w:val="1"/>
      <w:numFmt w:val="bullet"/>
      <w:lvlText w:val=""/>
      <w:lvlJc w:val="left"/>
      <w:pPr>
        <w:tabs>
          <w:tab w:val="num" w:pos="2160"/>
        </w:tabs>
        <w:ind w:left="2160" w:hanging="360"/>
      </w:pPr>
      <w:rPr>
        <w:rFonts w:ascii="Wingdings" w:hAnsi="Wingdings" w:hint="default"/>
      </w:rPr>
    </w:lvl>
    <w:lvl w:ilvl="3" w:tplc="2FB6C7E4" w:tentative="1">
      <w:start w:val="1"/>
      <w:numFmt w:val="bullet"/>
      <w:lvlText w:val=""/>
      <w:lvlJc w:val="left"/>
      <w:pPr>
        <w:tabs>
          <w:tab w:val="num" w:pos="2880"/>
        </w:tabs>
        <w:ind w:left="2880" w:hanging="360"/>
      </w:pPr>
      <w:rPr>
        <w:rFonts w:ascii="Wingdings" w:hAnsi="Wingdings" w:hint="default"/>
      </w:rPr>
    </w:lvl>
    <w:lvl w:ilvl="4" w:tplc="1408CBC4" w:tentative="1">
      <w:start w:val="1"/>
      <w:numFmt w:val="bullet"/>
      <w:lvlText w:val=""/>
      <w:lvlJc w:val="left"/>
      <w:pPr>
        <w:tabs>
          <w:tab w:val="num" w:pos="3600"/>
        </w:tabs>
        <w:ind w:left="3600" w:hanging="360"/>
      </w:pPr>
      <w:rPr>
        <w:rFonts w:ascii="Wingdings" w:hAnsi="Wingdings" w:hint="default"/>
      </w:rPr>
    </w:lvl>
    <w:lvl w:ilvl="5" w:tplc="AD2889F2" w:tentative="1">
      <w:start w:val="1"/>
      <w:numFmt w:val="bullet"/>
      <w:lvlText w:val=""/>
      <w:lvlJc w:val="left"/>
      <w:pPr>
        <w:tabs>
          <w:tab w:val="num" w:pos="4320"/>
        </w:tabs>
        <w:ind w:left="4320" w:hanging="360"/>
      </w:pPr>
      <w:rPr>
        <w:rFonts w:ascii="Wingdings" w:hAnsi="Wingdings" w:hint="default"/>
      </w:rPr>
    </w:lvl>
    <w:lvl w:ilvl="6" w:tplc="87A2D032" w:tentative="1">
      <w:start w:val="1"/>
      <w:numFmt w:val="bullet"/>
      <w:lvlText w:val=""/>
      <w:lvlJc w:val="left"/>
      <w:pPr>
        <w:tabs>
          <w:tab w:val="num" w:pos="5040"/>
        </w:tabs>
        <w:ind w:left="5040" w:hanging="360"/>
      </w:pPr>
      <w:rPr>
        <w:rFonts w:ascii="Wingdings" w:hAnsi="Wingdings" w:hint="default"/>
      </w:rPr>
    </w:lvl>
    <w:lvl w:ilvl="7" w:tplc="B6464618" w:tentative="1">
      <w:start w:val="1"/>
      <w:numFmt w:val="bullet"/>
      <w:lvlText w:val=""/>
      <w:lvlJc w:val="left"/>
      <w:pPr>
        <w:tabs>
          <w:tab w:val="num" w:pos="5760"/>
        </w:tabs>
        <w:ind w:left="5760" w:hanging="360"/>
      </w:pPr>
      <w:rPr>
        <w:rFonts w:ascii="Wingdings" w:hAnsi="Wingdings" w:hint="default"/>
      </w:rPr>
    </w:lvl>
    <w:lvl w:ilvl="8" w:tplc="83189A2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E21E40"/>
    <w:multiLevelType w:val="hybridMultilevel"/>
    <w:tmpl w:val="83061F18"/>
    <w:lvl w:ilvl="0" w:tplc="33580020">
      <w:start w:val="1"/>
      <w:numFmt w:val="bullet"/>
      <w:lvlText w:val=""/>
      <w:lvlJc w:val="left"/>
      <w:pPr>
        <w:tabs>
          <w:tab w:val="num" w:pos="720"/>
        </w:tabs>
        <w:ind w:left="720" w:hanging="360"/>
      </w:pPr>
      <w:rPr>
        <w:rFonts w:ascii="Wingdings" w:hAnsi="Wingdings" w:hint="default"/>
      </w:rPr>
    </w:lvl>
    <w:lvl w:ilvl="1" w:tplc="102CC164" w:tentative="1">
      <w:start w:val="1"/>
      <w:numFmt w:val="bullet"/>
      <w:lvlText w:val=""/>
      <w:lvlJc w:val="left"/>
      <w:pPr>
        <w:tabs>
          <w:tab w:val="num" w:pos="1440"/>
        </w:tabs>
        <w:ind w:left="1440" w:hanging="360"/>
      </w:pPr>
      <w:rPr>
        <w:rFonts w:ascii="Wingdings" w:hAnsi="Wingdings" w:hint="default"/>
      </w:rPr>
    </w:lvl>
    <w:lvl w:ilvl="2" w:tplc="BEEA9AA0" w:tentative="1">
      <w:start w:val="1"/>
      <w:numFmt w:val="bullet"/>
      <w:lvlText w:val=""/>
      <w:lvlJc w:val="left"/>
      <w:pPr>
        <w:tabs>
          <w:tab w:val="num" w:pos="2160"/>
        </w:tabs>
        <w:ind w:left="2160" w:hanging="360"/>
      </w:pPr>
      <w:rPr>
        <w:rFonts w:ascii="Wingdings" w:hAnsi="Wingdings" w:hint="default"/>
      </w:rPr>
    </w:lvl>
    <w:lvl w:ilvl="3" w:tplc="52E80CAA" w:tentative="1">
      <w:start w:val="1"/>
      <w:numFmt w:val="bullet"/>
      <w:lvlText w:val=""/>
      <w:lvlJc w:val="left"/>
      <w:pPr>
        <w:tabs>
          <w:tab w:val="num" w:pos="2880"/>
        </w:tabs>
        <w:ind w:left="2880" w:hanging="360"/>
      </w:pPr>
      <w:rPr>
        <w:rFonts w:ascii="Wingdings" w:hAnsi="Wingdings" w:hint="default"/>
      </w:rPr>
    </w:lvl>
    <w:lvl w:ilvl="4" w:tplc="40685A4A" w:tentative="1">
      <w:start w:val="1"/>
      <w:numFmt w:val="bullet"/>
      <w:lvlText w:val=""/>
      <w:lvlJc w:val="left"/>
      <w:pPr>
        <w:tabs>
          <w:tab w:val="num" w:pos="3600"/>
        </w:tabs>
        <w:ind w:left="3600" w:hanging="360"/>
      </w:pPr>
      <w:rPr>
        <w:rFonts w:ascii="Wingdings" w:hAnsi="Wingdings" w:hint="default"/>
      </w:rPr>
    </w:lvl>
    <w:lvl w:ilvl="5" w:tplc="464A14BA" w:tentative="1">
      <w:start w:val="1"/>
      <w:numFmt w:val="bullet"/>
      <w:lvlText w:val=""/>
      <w:lvlJc w:val="left"/>
      <w:pPr>
        <w:tabs>
          <w:tab w:val="num" w:pos="4320"/>
        </w:tabs>
        <w:ind w:left="4320" w:hanging="360"/>
      </w:pPr>
      <w:rPr>
        <w:rFonts w:ascii="Wingdings" w:hAnsi="Wingdings" w:hint="default"/>
      </w:rPr>
    </w:lvl>
    <w:lvl w:ilvl="6" w:tplc="71703784" w:tentative="1">
      <w:start w:val="1"/>
      <w:numFmt w:val="bullet"/>
      <w:lvlText w:val=""/>
      <w:lvlJc w:val="left"/>
      <w:pPr>
        <w:tabs>
          <w:tab w:val="num" w:pos="5040"/>
        </w:tabs>
        <w:ind w:left="5040" w:hanging="360"/>
      </w:pPr>
      <w:rPr>
        <w:rFonts w:ascii="Wingdings" w:hAnsi="Wingdings" w:hint="default"/>
      </w:rPr>
    </w:lvl>
    <w:lvl w:ilvl="7" w:tplc="349EF79A" w:tentative="1">
      <w:start w:val="1"/>
      <w:numFmt w:val="bullet"/>
      <w:lvlText w:val=""/>
      <w:lvlJc w:val="left"/>
      <w:pPr>
        <w:tabs>
          <w:tab w:val="num" w:pos="5760"/>
        </w:tabs>
        <w:ind w:left="5760" w:hanging="360"/>
      </w:pPr>
      <w:rPr>
        <w:rFonts w:ascii="Wingdings" w:hAnsi="Wingdings" w:hint="default"/>
      </w:rPr>
    </w:lvl>
    <w:lvl w:ilvl="8" w:tplc="9824147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4037A"/>
    <w:multiLevelType w:val="hybridMultilevel"/>
    <w:tmpl w:val="CC8A54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D3C6DB1"/>
    <w:multiLevelType w:val="hybridMultilevel"/>
    <w:tmpl w:val="5CD841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4307FA"/>
    <w:multiLevelType w:val="hybridMultilevel"/>
    <w:tmpl w:val="824064BE"/>
    <w:lvl w:ilvl="0" w:tplc="2D46456E">
      <w:start w:val="1"/>
      <w:numFmt w:val="bullet"/>
      <w:lvlText w:val=""/>
      <w:lvlJc w:val="left"/>
      <w:pPr>
        <w:tabs>
          <w:tab w:val="num" w:pos="720"/>
        </w:tabs>
        <w:ind w:left="720" w:hanging="360"/>
      </w:pPr>
      <w:rPr>
        <w:rFonts w:ascii="Wingdings" w:hAnsi="Wingdings" w:hint="default"/>
      </w:rPr>
    </w:lvl>
    <w:lvl w:ilvl="1" w:tplc="DD00CA50" w:tentative="1">
      <w:start w:val="1"/>
      <w:numFmt w:val="bullet"/>
      <w:lvlText w:val=""/>
      <w:lvlJc w:val="left"/>
      <w:pPr>
        <w:tabs>
          <w:tab w:val="num" w:pos="1440"/>
        </w:tabs>
        <w:ind w:left="1440" w:hanging="360"/>
      </w:pPr>
      <w:rPr>
        <w:rFonts w:ascii="Wingdings" w:hAnsi="Wingdings" w:hint="default"/>
      </w:rPr>
    </w:lvl>
    <w:lvl w:ilvl="2" w:tplc="EACE95E4" w:tentative="1">
      <w:start w:val="1"/>
      <w:numFmt w:val="bullet"/>
      <w:lvlText w:val=""/>
      <w:lvlJc w:val="left"/>
      <w:pPr>
        <w:tabs>
          <w:tab w:val="num" w:pos="2160"/>
        </w:tabs>
        <w:ind w:left="2160" w:hanging="360"/>
      </w:pPr>
      <w:rPr>
        <w:rFonts w:ascii="Wingdings" w:hAnsi="Wingdings" w:hint="default"/>
      </w:rPr>
    </w:lvl>
    <w:lvl w:ilvl="3" w:tplc="ED0A3A86" w:tentative="1">
      <w:start w:val="1"/>
      <w:numFmt w:val="bullet"/>
      <w:lvlText w:val=""/>
      <w:lvlJc w:val="left"/>
      <w:pPr>
        <w:tabs>
          <w:tab w:val="num" w:pos="2880"/>
        </w:tabs>
        <w:ind w:left="2880" w:hanging="360"/>
      </w:pPr>
      <w:rPr>
        <w:rFonts w:ascii="Wingdings" w:hAnsi="Wingdings" w:hint="default"/>
      </w:rPr>
    </w:lvl>
    <w:lvl w:ilvl="4" w:tplc="7334FBE4" w:tentative="1">
      <w:start w:val="1"/>
      <w:numFmt w:val="bullet"/>
      <w:lvlText w:val=""/>
      <w:lvlJc w:val="left"/>
      <w:pPr>
        <w:tabs>
          <w:tab w:val="num" w:pos="3600"/>
        </w:tabs>
        <w:ind w:left="3600" w:hanging="360"/>
      </w:pPr>
      <w:rPr>
        <w:rFonts w:ascii="Wingdings" w:hAnsi="Wingdings" w:hint="default"/>
      </w:rPr>
    </w:lvl>
    <w:lvl w:ilvl="5" w:tplc="1CFE87AC" w:tentative="1">
      <w:start w:val="1"/>
      <w:numFmt w:val="bullet"/>
      <w:lvlText w:val=""/>
      <w:lvlJc w:val="left"/>
      <w:pPr>
        <w:tabs>
          <w:tab w:val="num" w:pos="4320"/>
        </w:tabs>
        <w:ind w:left="4320" w:hanging="360"/>
      </w:pPr>
      <w:rPr>
        <w:rFonts w:ascii="Wingdings" w:hAnsi="Wingdings" w:hint="default"/>
      </w:rPr>
    </w:lvl>
    <w:lvl w:ilvl="6" w:tplc="6C486540" w:tentative="1">
      <w:start w:val="1"/>
      <w:numFmt w:val="bullet"/>
      <w:lvlText w:val=""/>
      <w:lvlJc w:val="left"/>
      <w:pPr>
        <w:tabs>
          <w:tab w:val="num" w:pos="5040"/>
        </w:tabs>
        <w:ind w:left="5040" w:hanging="360"/>
      </w:pPr>
      <w:rPr>
        <w:rFonts w:ascii="Wingdings" w:hAnsi="Wingdings" w:hint="default"/>
      </w:rPr>
    </w:lvl>
    <w:lvl w:ilvl="7" w:tplc="DB54B980" w:tentative="1">
      <w:start w:val="1"/>
      <w:numFmt w:val="bullet"/>
      <w:lvlText w:val=""/>
      <w:lvlJc w:val="left"/>
      <w:pPr>
        <w:tabs>
          <w:tab w:val="num" w:pos="5760"/>
        </w:tabs>
        <w:ind w:left="5760" w:hanging="360"/>
      </w:pPr>
      <w:rPr>
        <w:rFonts w:ascii="Wingdings" w:hAnsi="Wingdings" w:hint="default"/>
      </w:rPr>
    </w:lvl>
    <w:lvl w:ilvl="8" w:tplc="EA94C63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6184BCA"/>
    <w:multiLevelType w:val="hybridMultilevel"/>
    <w:tmpl w:val="E5FA5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6256817">
    <w:abstractNumId w:val="30"/>
  </w:num>
  <w:num w:numId="2" w16cid:durableId="745692139">
    <w:abstractNumId w:val="37"/>
  </w:num>
  <w:num w:numId="3" w16cid:durableId="474031128">
    <w:abstractNumId w:val="3"/>
  </w:num>
  <w:num w:numId="4" w16cid:durableId="1108236880">
    <w:abstractNumId w:val="2"/>
  </w:num>
  <w:num w:numId="5" w16cid:durableId="294220179">
    <w:abstractNumId w:val="36"/>
  </w:num>
  <w:num w:numId="6" w16cid:durableId="1545562184">
    <w:abstractNumId w:val="10"/>
  </w:num>
  <w:num w:numId="7" w16cid:durableId="568610686">
    <w:abstractNumId w:val="11"/>
  </w:num>
  <w:num w:numId="8" w16cid:durableId="2004164789">
    <w:abstractNumId w:val="16"/>
  </w:num>
  <w:num w:numId="9" w16cid:durableId="759527547">
    <w:abstractNumId w:val="33"/>
  </w:num>
  <w:num w:numId="10" w16cid:durableId="1836678272">
    <w:abstractNumId w:val="26"/>
  </w:num>
  <w:num w:numId="11" w16cid:durableId="2136749524">
    <w:abstractNumId w:val="31"/>
  </w:num>
  <w:num w:numId="12" w16cid:durableId="761027850">
    <w:abstractNumId w:val="24"/>
  </w:num>
  <w:num w:numId="13" w16cid:durableId="337853274">
    <w:abstractNumId w:val="42"/>
  </w:num>
  <w:num w:numId="14" w16cid:durableId="1114791782">
    <w:abstractNumId w:val="15"/>
  </w:num>
  <w:num w:numId="15" w16cid:durableId="1006790290">
    <w:abstractNumId w:val="14"/>
  </w:num>
  <w:num w:numId="16" w16cid:durableId="2137795186">
    <w:abstractNumId w:val="32"/>
  </w:num>
  <w:num w:numId="17" w16cid:durableId="1995793494">
    <w:abstractNumId w:val="35"/>
  </w:num>
  <w:num w:numId="18" w16cid:durableId="896281070">
    <w:abstractNumId w:val="34"/>
  </w:num>
  <w:num w:numId="19" w16cid:durableId="1667978921">
    <w:abstractNumId w:val="19"/>
  </w:num>
  <w:num w:numId="20" w16cid:durableId="1469014889">
    <w:abstractNumId w:val="44"/>
  </w:num>
  <w:num w:numId="21" w16cid:durableId="2100448434">
    <w:abstractNumId w:val="28"/>
  </w:num>
  <w:num w:numId="22" w16cid:durableId="145586071">
    <w:abstractNumId w:val="18"/>
  </w:num>
  <w:num w:numId="23" w16cid:durableId="1056005645">
    <w:abstractNumId w:val="4"/>
  </w:num>
  <w:num w:numId="24" w16cid:durableId="327177557">
    <w:abstractNumId w:val="9"/>
  </w:num>
  <w:num w:numId="25" w16cid:durableId="168176353">
    <w:abstractNumId w:val="43"/>
  </w:num>
  <w:num w:numId="26" w16cid:durableId="120079556">
    <w:abstractNumId w:val="12"/>
  </w:num>
  <w:num w:numId="27" w16cid:durableId="1023164660">
    <w:abstractNumId w:val="27"/>
  </w:num>
  <w:num w:numId="28" w16cid:durableId="383256120">
    <w:abstractNumId w:val="13"/>
  </w:num>
  <w:num w:numId="29" w16cid:durableId="73093892">
    <w:abstractNumId w:val="38"/>
  </w:num>
  <w:num w:numId="30" w16cid:durableId="1592549048">
    <w:abstractNumId w:val="8"/>
  </w:num>
  <w:num w:numId="31" w16cid:durableId="1136877675">
    <w:abstractNumId w:val="29"/>
  </w:num>
  <w:num w:numId="32" w16cid:durableId="1836609449">
    <w:abstractNumId w:val="22"/>
  </w:num>
  <w:num w:numId="33" w16cid:durableId="2061637116">
    <w:abstractNumId w:val="6"/>
  </w:num>
  <w:num w:numId="34" w16cid:durableId="344326456">
    <w:abstractNumId w:val="41"/>
  </w:num>
  <w:num w:numId="35" w16cid:durableId="1083188441">
    <w:abstractNumId w:val="5"/>
  </w:num>
  <w:num w:numId="36" w16cid:durableId="1318995284">
    <w:abstractNumId w:val="17"/>
  </w:num>
  <w:num w:numId="37" w16cid:durableId="2118718694">
    <w:abstractNumId w:val="25"/>
  </w:num>
  <w:num w:numId="38" w16cid:durableId="1059790183">
    <w:abstractNumId w:val="21"/>
  </w:num>
  <w:num w:numId="39" w16cid:durableId="1380085200">
    <w:abstractNumId w:val="7"/>
  </w:num>
  <w:num w:numId="40" w16cid:durableId="1238438077">
    <w:abstractNumId w:val="20"/>
  </w:num>
  <w:num w:numId="41" w16cid:durableId="285353287">
    <w:abstractNumId w:val="39"/>
  </w:num>
  <w:num w:numId="42" w16cid:durableId="1589777356">
    <w:abstractNumId w:val="0"/>
  </w:num>
  <w:num w:numId="43" w16cid:durableId="2042778179">
    <w:abstractNumId w:val="23"/>
  </w:num>
  <w:num w:numId="44" w16cid:durableId="1069840982">
    <w:abstractNumId w:val="1"/>
  </w:num>
  <w:num w:numId="45" w16cid:durableId="3195794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8D3"/>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4C78"/>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1B44"/>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2FB"/>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992"/>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6FA5"/>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071"/>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B04"/>
    <w:rsid w:val="005E0E89"/>
    <w:rsid w:val="005E110C"/>
    <w:rsid w:val="005E1A88"/>
    <w:rsid w:val="005E25CA"/>
    <w:rsid w:val="005E3144"/>
    <w:rsid w:val="005E328F"/>
    <w:rsid w:val="005E3D9D"/>
    <w:rsid w:val="005E4058"/>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08F"/>
    <w:rsid w:val="006B7654"/>
    <w:rsid w:val="006B7995"/>
    <w:rsid w:val="006C0BF2"/>
    <w:rsid w:val="006C0C9E"/>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4FC"/>
    <w:rsid w:val="007345F5"/>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C7E1D"/>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8F7A00"/>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6BA"/>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DDD"/>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2B1"/>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1481"/>
    <w:rsid w:val="00B7168C"/>
    <w:rsid w:val="00B71C85"/>
    <w:rsid w:val="00B723A3"/>
    <w:rsid w:val="00B72A14"/>
    <w:rsid w:val="00B72F0F"/>
    <w:rsid w:val="00B7375D"/>
    <w:rsid w:val="00B738D5"/>
    <w:rsid w:val="00B74ADE"/>
    <w:rsid w:val="00B75914"/>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3FB6"/>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478"/>
    <w:rsid w:val="00CB6AD5"/>
    <w:rsid w:val="00CC03B3"/>
    <w:rsid w:val="00CC0AED"/>
    <w:rsid w:val="00CC0F5C"/>
    <w:rsid w:val="00CC17C2"/>
    <w:rsid w:val="00CC2047"/>
    <w:rsid w:val="00CC2420"/>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3064"/>
    <w:rsid w:val="00CE3425"/>
    <w:rsid w:val="00CE406D"/>
    <w:rsid w:val="00CE4121"/>
    <w:rsid w:val="00CE4180"/>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6CF6"/>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4C73"/>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77D"/>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A8492612-21F8-4EE9-A24B-3E6D5BA5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 w:type="paragraph" w:styleId="af2">
    <w:name w:val="Normal (Web)"/>
    <w:basedOn w:val="a"/>
    <w:uiPriority w:val="99"/>
    <w:unhideWhenUsed/>
    <w:rsid w:val="006A7A7D"/>
    <w:pPr>
      <w:spacing w:before="100" w:beforeAutospacing="1" w:after="100" w:afterAutospacing="1" w:line="240" w:lineRule="auto"/>
    </w:pPr>
    <w:rPr>
      <w:rFonts w:ascii="宋体" w:eastAsia="宋体" w:hAnsi="宋体" w:cs="宋体"/>
      <w:color w:val="auto"/>
      <w:kern w:val="0"/>
      <w:sz w:val="24"/>
      <w:szCs w:val="24"/>
    </w:rPr>
  </w:style>
  <w:style w:type="paragraph" w:styleId="af3">
    <w:name w:val="Revision"/>
    <w:hidden/>
    <w:uiPriority w:val="99"/>
    <w:semiHidden/>
    <w:rsid w:val="006462CD"/>
    <w:rPr>
      <w:rFonts w:ascii="Calibri" w:eastAsia="Calibri" w:hAnsi="Calibri" w:cs="Calibri"/>
      <w:color w:val="000000"/>
      <w:sz w:val="22"/>
    </w:rPr>
  </w:style>
  <w:style w:type="character" w:styleId="af4">
    <w:name w:val="Strong"/>
    <w:basedOn w:val="a0"/>
    <w:uiPriority w:val="22"/>
    <w:qFormat/>
    <w:rsid w:val="000C38D3"/>
    <w:rPr>
      <w:b/>
      <w:bCs/>
    </w:rPr>
  </w:style>
  <w:style w:type="character" w:customStyle="1" w:styleId="wxsearchkeywordwrap">
    <w:name w:val="wx_search_keyword_wrap"/>
    <w:basedOn w:val="a0"/>
    <w:rsid w:val="00D26CF6"/>
  </w:style>
  <w:style w:type="character" w:customStyle="1" w:styleId="apple-converted-space">
    <w:name w:val="apple-converted-space"/>
    <w:basedOn w:val="a0"/>
    <w:rsid w:val="00B5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285697910">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1788966308">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271212197">
      <w:bodyDiv w:val="1"/>
      <w:marLeft w:val="0"/>
      <w:marRight w:val="0"/>
      <w:marTop w:val="0"/>
      <w:marBottom w:val="0"/>
      <w:divBdr>
        <w:top w:val="none" w:sz="0" w:space="0" w:color="auto"/>
        <w:left w:val="none" w:sz="0" w:space="0" w:color="auto"/>
        <w:bottom w:val="none" w:sz="0" w:space="0" w:color="auto"/>
        <w:right w:val="none" w:sz="0" w:space="0" w:color="auto"/>
      </w:divBdr>
      <w:divsChild>
        <w:div w:id="381253641">
          <w:marLeft w:val="274"/>
          <w:marRight w:val="0"/>
          <w:marTop w:val="60"/>
          <w:marBottom w:val="40"/>
          <w:divBdr>
            <w:top w:val="none" w:sz="0" w:space="0" w:color="auto"/>
            <w:left w:val="none" w:sz="0" w:space="0" w:color="auto"/>
            <w:bottom w:val="none" w:sz="0" w:space="0" w:color="auto"/>
            <w:right w:val="none" w:sz="0" w:space="0" w:color="auto"/>
          </w:divBdr>
        </w:div>
        <w:div w:id="686953267">
          <w:marLeft w:val="274"/>
          <w:marRight w:val="0"/>
          <w:marTop w:val="60"/>
          <w:marBottom w:val="40"/>
          <w:divBdr>
            <w:top w:val="none" w:sz="0" w:space="0" w:color="auto"/>
            <w:left w:val="none" w:sz="0" w:space="0" w:color="auto"/>
            <w:bottom w:val="none" w:sz="0" w:space="0" w:color="auto"/>
            <w:right w:val="none" w:sz="0" w:space="0" w:color="auto"/>
          </w:divBdr>
        </w:div>
        <w:div w:id="956256956">
          <w:marLeft w:val="274"/>
          <w:marRight w:val="0"/>
          <w:marTop w:val="60"/>
          <w:marBottom w:val="40"/>
          <w:divBdr>
            <w:top w:val="none" w:sz="0" w:space="0" w:color="auto"/>
            <w:left w:val="none" w:sz="0" w:space="0" w:color="auto"/>
            <w:bottom w:val="none" w:sz="0" w:space="0" w:color="auto"/>
            <w:right w:val="none" w:sz="0" w:space="0" w:color="auto"/>
          </w:divBdr>
        </w:div>
        <w:div w:id="1164394661">
          <w:marLeft w:val="274"/>
          <w:marRight w:val="0"/>
          <w:marTop w:val="60"/>
          <w:marBottom w:val="40"/>
          <w:divBdr>
            <w:top w:val="none" w:sz="0" w:space="0" w:color="auto"/>
            <w:left w:val="none" w:sz="0" w:space="0" w:color="auto"/>
            <w:bottom w:val="none" w:sz="0" w:space="0" w:color="auto"/>
            <w:right w:val="none" w:sz="0" w:space="0" w:color="auto"/>
          </w:divBdr>
        </w:div>
        <w:div w:id="1214190934">
          <w:marLeft w:val="274"/>
          <w:marRight w:val="0"/>
          <w:marTop w:val="60"/>
          <w:marBottom w:val="40"/>
          <w:divBdr>
            <w:top w:val="none" w:sz="0" w:space="0" w:color="auto"/>
            <w:left w:val="none" w:sz="0" w:space="0" w:color="auto"/>
            <w:bottom w:val="none" w:sz="0" w:space="0" w:color="auto"/>
            <w:right w:val="none" w:sz="0" w:space="0" w:color="auto"/>
          </w:divBdr>
        </w:div>
        <w:div w:id="1297180647">
          <w:marLeft w:val="274"/>
          <w:marRight w:val="0"/>
          <w:marTop w:val="60"/>
          <w:marBottom w:val="40"/>
          <w:divBdr>
            <w:top w:val="none" w:sz="0" w:space="0" w:color="auto"/>
            <w:left w:val="none" w:sz="0" w:space="0" w:color="auto"/>
            <w:bottom w:val="none" w:sz="0" w:space="0" w:color="auto"/>
            <w:right w:val="none" w:sz="0" w:space="0" w:color="auto"/>
          </w:divBdr>
        </w:div>
        <w:div w:id="1542589293">
          <w:marLeft w:val="274"/>
          <w:marRight w:val="0"/>
          <w:marTop w:val="60"/>
          <w:marBottom w:val="40"/>
          <w:divBdr>
            <w:top w:val="none" w:sz="0" w:space="0" w:color="auto"/>
            <w:left w:val="none" w:sz="0" w:space="0" w:color="auto"/>
            <w:bottom w:val="none" w:sz="0" w:space="0" w:color="auto"/>
            <w:right w:val="none" w:sz="0" w:space="0" w:color="auto"/>
          </w:divBdr>
        </w:div>
        <w:div w:id="1651325806">
          <w:marLeft w:val="274"/>
          <w:marRight w:val="0"/>
          <w:marTop w:val="60"/>
          <w:marBottom w:val="40"/>
          <w:divBdr>
            <w:top w:val="none" w:sz="0" w:space="0" w:color="auto"/>
            <w:left w:val="none" w:sz="0" w:space="0" w:color="auto"/>
            <w:bottom w:val="none" w:sz="0" w:space="0" w:color="auto"/>
            <w:right w:val="none" w:sz="0" w:space="0" w:color="auto"/>
          </w:divBdr>
        </w:div>
        <w:div w:id="1915042436">
          <w:marLeft w:val="274"/>
          <w:marRight w:val="0"/>
          <w:marTop w:val="60"/>
          <w:marBottom w:val="40"/>
          <w:divBdr>
            <w:top w:val="none" w:sz="0" w:space="0" w:color="auto"/>
            <w:left w:val="none" w:sz="0" w:space="0" w:color="auto"/>
            <w:bottom w:val="none" w:sz="0" w:space="0" w:color="auto"/>
            <w:right w:val="none" w:sz="0" w:space="0" w:color="auto"/>
          </w:divBdr>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220482544">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16636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688334500">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AF02-EBF4-467B-87A0-B4F7A5CC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345</Words>
  <Characters>1970</Characters>
  <Application>Microsoft Office Word</Application>
  <DocSecurity>0</DocSecurity>
  <Lines>16</Lines>
  <Paragraphs>4</Paragraphs>
  <ScaleCrop>false</ScaleCrop>
  <Company>微软中国</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JuanJuan(Juanjuan)</dc:creator>
  <cp:keywords/>
  <dc:description/>
  <cp:lastModifiedBy>Hongxia Yao</cp:lastModifiedBy>
  <cp:revision>6</cp:revision>
  <cp:lastPrinted>2021-01-15T08:56:00Z</cp:lastPrinted>
  <dcterms:created xsi:type="dcterms:W3CDTF">2024-06-28T05:28:00Z</dcterms:created>
  <dcterms:modified xsi:type="dcterms:W3CDTF">2024-06-28T08:27:00Z</dcterms:modified>
</cp:coreProperties>
</file>